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C2" w:rsidRDefault="007B70C2" w:rsidP="007B70C2">
      <w:pPr>
        <w:spacing w:line="360" w:lineRule="auto"/>
        <w:jc w:val="both"/>
        <w:rPr>
          <w:rFonts w:ascii="Palatino Linotype" w:hAnsi="Palatino Linotype" w:cs="Arial"/>
          <w:b/>
          <w:lang w:eastAsia="es-MX"/>
        </w:rPr>
      </w:pPr>
      <w:r>
        <w:rPr>
          <w:rFonts w:ascii="Palatino Linotype" w:hAnsi="Palatino Linotype" w:cs="Arial"/>
          <w:b/>
        </w:rPr>
        <w:t>VOTO DISIDENTE</w:t>
      </w:r>
      <w:r w:rsidRPr="0060362D">
        <w:rPr>
          <w:rFonts w:ascii="Palatino Linotype" w:hAnsi="Palatino Linotype" w:cs="Arial"/>
          <w:b/>
        </w:rPr>
        <w:t xml:space="preserve"> DEL COMISIONADO JOSÉ GUADALUPE LUNA HERNÁNDEZ EN </w:t>
      </w:r>
      <w:r w:rsidR="007D0BA4">
        <w:rPr>
          <w:rFonts w:ascii="Palatino Linotype" w:hAnsi="Palatino Linotype" w:cs="Arial"/>
          <w:b/>
        </w:rPr>
        <w:t>LOS</w:t>
      </w:r>
      <w:r>
        <w:rPr>
          <w:rFonts w:ascii="Palatino Linotype" w:hAnsi="Palatino Linotype" w:cs="Arial"/>
          <w:b/>
        </w:rPr>
        <w:t xml:space="preserve"> RECURSO</w:t>
      </w:r>
      <w:r w:rsidR="007D0BA4">
        <w:rPr>
          <w:rFonts w:ascii="Palatino Linotype" w:hAnsi="Palatino Linotype" w:cs="Arial"/>
          <w:b/>
        </w:rPr>
        <w:t>S</w:t>
      </w:r>
      <w:r w:rsidRPr="0060362D">
        <w:rPr>
          <w:rFonts w:ascii="Palatino Linotype" w:hAnsi="Palatino Linotype" w:cs="Arial"/>
          <w:b/>
        </w:rPr>
        <w:t xml:space="preserve"> DE REVISIÓN</w:t>
      </w:r>
      <w:r w:rsidR="00FC0B18">
        <w:rPr>
          <w:rFonts w:ascii="Palatino Linotype" w:hAnsi="Palatino Linotype" w:cs="Arial"/>
          <w:b/>
        </w:rPr>
        <w:t xml:space="preserve"> </w:t>
      </w:r>
      <w:r w:rsidR="00925842">
        <w:rPr>
          <w:rFonts w:ascii="Palatino Linotype" w:hAnsi="Palatino Linotype" w:cs="Arial"/>
          <w:b/>
          <w:bCs/>
          <w:lang w:eastAsia="es-MX"/>
        </w:rPr>
        <w:t>0</w:t>
      </w:r>
      <w:r w:rsidR="007D0BA4">
        <w:rPr>
          <w:rFonts w:ascii="Palatino Linotype" w:hAnsi="Palatino Linotype" w:cs="Arial"/>
          <w:b/>
          <w:bCs/>
          <w:lang w:eastAsia="es-MX"/>
        </w:rPr>
        <w:t>4656</w:t>
      </w:r>
      <w:r w:rsidR="00925842">
        <w:rPr>
          <w:rFonts w:ascii="Palatino Linotype" w:hAnsi="Palatino Linotype" w:cs="Arial"/>
          <w:b/>
          <w:bCs/>
          <w:lang w:eastAsia="es-MX"/>
        </w:rPr>
        <w:t>/INFOEM/IP/RR/2018</w:t>
      </w:r>
      <w:r w:rsidR="007D0BA4">
        <w:rPr>
          <w:rFonts w:ascii="Palatino Linotype" w:hAnsi="Palatino Linotype" w:cs="Arial"/>
          <w:b/>
          <w:bCs/>
          <w:lang w:eastAsia="es-MX"/>
        </w:rPr>
        <w:t xml:space="preserve"> Y 0465</w:t>
      </w:r>
      <w:r w:rsidR="00356490">
        <w:rPr>
          <w:rFonts w:ascii="Palatino Linotype" w:hAnsi="Palatino Linotype" w:cs="Arial"/>
          <w:b/>
          <w:bCs/>
          <w:lang w:eastAsia="es-MX"/>
        </w:rPr>
        <w:t>7</w:t>
      </w:r>
      <w:r w:rsidR="007D0BA4">
        <w:rPr>
          <w:rFonts w:ascii="Palatino Linotype" w:hAnsi="Palatino Linotype" w:cs="Arial"/>
          <w:b/>
          <w:bCs/>
          <w:lang w:eastAsia="es-MX"/>
        </w:rPr>
        <w:t>/INFOEM/IP/RR/2018 ACUMULADO.</w:t>
      </w:r>
    </w:p>
    <w:p w:rsidR="007B70C2" w:rsidRDefault="007B70C2" w:rsidP="007B70C2">
      <w:pPr>
        <w:spacing w:line="360" w:lineRule="auto"/>
        <w:jc w:val="both"/>
        <w:rPr>
          <w:rFonts w:ascii="Palatino Linotype" w:hAnsi="Palatino Linotype" w:cs="Arial"/>
        </w:rPr>
      </w:pPr>
    </w:p>
    <w:sdt>
      <w:sdtPr>
        <w:rPr>
          <w:rFonts w:ascii="Times New Roman" w:eastAsia="Arial Unicode MS" w:hAnsi="Times New Roman" w:cs="Times New Roman"/>
          <w:color w:val="auto"/>
          <w:sz w:val="24"/>
          <w:szCs w:val="24"/>
          <w:bdr w:val="nil"/>
          <w:lang w:val="es-ES" w:eastAsia="en-US"/>
        </w:rPr>
        <w:id w:val="-1382787339"/>
        <w:docPartObj>
          <w:docPartGallery w:val="Table of Contents"/>
          <w:docPartUnique/>
        </w:docPartObj>
      </w:sdtPr>
      <w:sdtEndPr>
        <w:rPr>
          <w:b/>
          <w:bCs/>
          <w:lang w:val="es-MX"/>
        </w:rPr>
      </w:sdtEndPr>
      <w:sdtContent>
        <w:p w:rsidR="00B82DF9" w:rsidRPr="00B82DF9" w:rsidRDefault="00B82DF9" w:rsidP="00B82DF9">
          <w:pPr>
            <w:pStyle w:val="TtulodeTDC"/>
            <w:spacing w:line="360" w:lineRule="auto"/>
            <w:jc w:val="center"/>
            <w:rPr>
              <w:rFonts w:ascii="Palatino Linotype" w:hAnsi="Palatino Linotype"/>
              <w:b/>
              <w:color w:val="000000" w:themeColor="text1"/>
              <w:sz w:val="24"/>
              <w:szCs w:val="24"/>
            </w:rPr>
          </w:pPr>
          <w:r w:rsidRPr="00B82DF9">
            <w:rPr>
              <w:rFonts w:ascii="Palatino Linotype" w:hAnsi="Palatino Linotype"/>
              <w:b/>
              <w:color w:val="000000" w:themeColor="text1"/>
              <w:sz w:val="24"/>
              <w:szCs w:val="24"/>
              <w:lang w:val="es-ES"/>
            </w:rPr>
            <w:t>Índice</w:t>
          </w:r>
        </w:p>
        <w:p w:rsidR="004131E3" w:rsidRDefault="00B82DF9">
          <w:pPr>
            <w:pStyle w:val="TDC2"/>
            <w:rPr>
              <w:rFonts w:asciiTheme="minorHAnsi" w:eastAsiaTheme="minorEastAsia" w:hAnsiTheme="minorHAnsi" w:cstheme="minorBidi"/>
              <w:noProof/>
              <w:sz w:val="22"/>
              <w:szCs w:val="22"/>
              <w:bdr w:val="none" w:sz="0" w:space="0" w:color="auto"/>
              <w:lang w:eastAsia="es-MX"/>
            </w:rPr>
          </w:pPr>
          <w:r>
            <w:fldChar w:fldCharType="begin"/>
          </w:r>
          <w:r>
            <w:instrText xml:space="preserve"> TOC \o "1-3" \h \z \u </w:instrText>
          </w:r>
          <w:r>
            <w:fldChar w:fldCharType="separate"/>
          </w:r>
          <w:hyperlink w:anchor="_Toc513483488" w:history="1">
            <w:r w:rsidR="004131E3" w:rsidRPr="0016000D">
              <w:rPr>
                <w:rStyle w:val="Hipervnculo"/>
                <w:rFonts w:ascii="Palatino Linotype" w:hAnsi="Palatino Linotype"/>
                <w:b/>
                <w:noProof/>
                <w:lang w:val="es-ES"/>
              </w:rPr>
              <w:t>I. De los Requerimientos.</w:t>
            </w:r>
            <w:r w:rsidR="004131E3">
              <w:rPr>
                <w:noProof/>
                <w:webHidden/>
              </w:rPr>
              <w:tab/>
            </w:r>
            <w:r w:rsidR="004131E3">
              <w:rPr>
                <w:noProof/>
                <w:webHidden/>
              </w:rPr>
              <w:fldChar w:fldCharType="begin"/>
            </w:r>
            <w:r w:rsidR="004131E3">
              <w:rPr>
                <w:noProof/>
                <w:webHidden/>
              </w:rPr>
              <w:instrText xml:space="preserve"> PAGEREF _Toc513483488 \h </w:instrText>
            </w:r>
            <w:r w:rsidR="004131E3">
              <w:rPr>
                <w:noProof/>
                <w:webHidden/>
              </w:rPr>
            </w:r>
            <w:r w:rsidR="004131E3">
              <w:rPr>
                <w:noProof/>
                <w:webHidden/>
              </w:rPr>
              <w:fldChar w:fldCharType="separate"/>
            </w:r>
            <w:r w:rsidR="004131E3">
              <w:rPr>
                <w:noProof/>
                <w:webHidden/>
              </w:rPr>
              <w:t>2</w:t>
            </w:r>
            <w:r w:rsidR="004131E3">
              <w:rPr>
                <w:noProof/>
                <w:webHidden/>
              </w:rPr>
              <w:fldChar w:fldCharType="end"/>
            </w:r>
          </w:hyperlink>
        </w:p>
        <w:p w:rsidR="004131E3" w:rsidRDefault="009A3E5D">
          <w:pPr>
            <w:pStyle w:val="TDC2"/>
            <w:rPr>
              <w:rFonts w:asciiTheme="minorHAnsi" w:eastAsiaTheme="minorEastAsia" w:hAnsiTheme="minorHAnsi" w:cstheme="minorBidi"/>
              <w:noProof/>
              <w:sz w:val="22"/>
              <w:szCs w:val="22"/>
              <w:bdr w:val="none" w:sz="0" w:space="0" w:color="auto"/>
              <w:lang w:eastAsia="es-MX"/>
            </w:rPr>
          </w:pPr>
          <w:hyperlink w:anchor="_Toc513483489" w:history="1">
            <w:r w:rsidR="004131E3" w:rsidRPr="0016000D">
              <w:rPr>
                <w:rStyle w:val="Hipervnculo"/>
                <w:rFonts w:ascii="Palatino Linotype" w:eastAsiaTheme="majorEastAsia" w:hAnsi="Palatino Linotype" w:cstheme="majorBidi"/>
                <w:b/>
                <w:noProof/>
                <w:lang w:val="es-ES"/>
              </w:rPr>
              <w:t>II. Del estudio del asunto</w:t>
            </w:r>
            <w:r w:rsidR="004131E3">
              <w:rPr>
                <w:noProof/>
                <w:webHidden/>
              </w:rPr>
              <w:tab/>
            </w:r>
            <w:r w:rsidR="004131E3">
              <w:rPr>
                <w:noProof/>
                <w:webHidden/>
              </w:rPr>
              <w:fldChar w:fldCharType="begin"/>
            </w:r>
            <w:r w:rsidR="004131E3">
              <w:rPr>
                <w:noProof/>
                <w:webHidden/>
              </w:rPr>
              <w:instrText xml:space="preserve"> PAGEREF _Toc513483489 \h </w:instrText>
            </w:r>
            <w:r w:rsidR="004131E3">
              <w:rPr>
                <w:noProof/>
                <w:webHidden/>
              </w:rPr>
            </w:r>
            <w:r w:rsidR="004131E3">
              <w:rPr>
                <w:noProof/>
                <w:webHidden/>
              </w:rPr>
              <w:fldChar w:fldCharType="separate"/>
            </w:r>
            <w:r w:rsidR="004131E3">
              <w:rPr>
                <w:noProof/>
                <w:webHidden/>
              </w:rPr>
              <w:t>4</w:t>
            </w:r>
            <w:r w:rsidR="004131E3">
              <w:rPr>
                <w:noProof/>
                <w:webHidden/>
              </w:rPr>
              <w:fldChar w:fldCharType="end"/>
            </w:r>
          </w:hyperlink>
        </w:p>
        <w:p w:rsidR="004131E3" w:rsidRDefault="009A3E5D">
          <w:pPr>
            <w:pStyle w:val="TDC2"/>
            <w:rPr>
              <w:rFonts w:asciiTheme="minorHAnsi" w:eastAsiaTheme="minorEastAsia" w:hAnsiTheme="minorHAnsi" w:cstheme="minorBidi"/>
              <w:noProof/>
              <w:sz w:val="22"/>
              <w:szCs w:val="22"/>
              <w:bdr w:val="none" w:sz="0" w:space="0" w:color="auto"/>
              <w:lang w:eastAsia="es-MX"/>
            </w:rPr>
          </w:pPr>
          <w:hyperlink w:anchor="_Toc513483490" w:history="1">
            <w:r w:rsidR="004131E3" w:rsidRPr="0016000D">
              <w:rPr>
                <w:rStyle w:val="Hipervnculo"/>
                <w:rFonts w:ascii="Palatino Linotype" w:eastAsiaTheme="majorEastAsia" w:hAnsi="Palatino Linotype" w:cstheme="majorBidi"/>
                <w:b/>
                <w:noProof/>
                <w:lang w:val="es-ES"/>
              </w:rPr>
              <w:t>III. De los Datos Personales.</w:t>
            </w:r>
            <w:r w:rsidR="004131E3">
              <w:rPr>
                <w:noProof/>
                <w:webHidden/>
              </w:rPr>
              <w:tab/>
            </w:r>
            <w:r w:rsidR="004131E3">
              <w:rPr>
                <w:noProof/>
                <w:webHidden/>
              </w:rPr>
              <w:fldChar w:fldCharType="begin"/>
            </w:r>
            <w:r w:rsidR="004131E3">
              <w:rPr>
                <w:noProof/>
                <w:webHidden/>
              </w:rPr>
              <w:instrText xml:space="preserve"> PAGEREF _Toc513483490 \h </w:instrText>
            </w:r>
            <w:r w:rsidR="004131E3">
              <w:rPr>
                <w:noProof/>
                <w:webHidden/>
              </w:rPr>
            </w:r>
            <w:r w:rsidR="004131E3">
              <w:rPr>
                <w:noProof/>
                <w:webHidden/>
              </w:rPr>
              <w:fldChar w:fldCharType="separate"/>
            </w:r>
            <w:r w:rsidR="004131E3">
              <w:rPr>
                <w:noProof/>
                <w:webHidden/>
              </w:rPr>
              <w:t>8</w:t>
            </w:r>
            <w:r w:rsidR="004131E3">
              <w:rPr>
                <w:noProof/>
                <w:webHidden/>
              </w:rPr>
              <w:fldChar w:fldCharType="end"/>
            </w:r>
          </w:hyperlink>
        </w:p>
        <w:p w:rsidR="004131E3" w:rsidRDefault="009A3E5D">
          <w:pPr>
            <w:pStyle w:val="TDC2"/>
            <w:rPr>
              <w:rFonts w:asciiTheme="minorHAnsi" w:eastAsiaTheme="minorEastAsia" w:hAnsiTheme="minorHAnsi" w:cstheme="minorBidi"/>
              <w:noProof/>
              <w:sz w:val="22"/>
              <w:szCs w:val="22"/>
              <w:bdr w:val="none" w:sz="0" w:space="0" w:color="auto"/>
              <w:lang w:eastAsia="es-MX"/>
            </w:rPr>
          </w:pPr>
          <w:hyperlink w:anchor="_Toc513483491" w:history="1">
            <w:r w:rsidR="004131E3" w:rsidRPr="0016000D">
              <w:rPr>
                <w:rStyle w:val="Hipervnculo"/>
                <w:rFonts w:ascii="Palatino Linotype" w:eastAsiaTheme="majorEastAsia" w:hAnsi="Palatino Linotype" w:cstheme="majorBidi"/>
                <w:b/>
                <w:noProof/>
                <w:lang w:val="es-ES"/>
              </w:rPr>
              <w:t>IV. Del Consentimiento</w:t>
            </w:r>
            <w:r w:rsidR="004131E3">
              <w:rPr>
                <w:noProof/>
                <w:webHidden/>
              </w:rPr>
              <w:tab/>
            </w:r>
            <w:r w:rsidR="004131E3">
              <w:rPr>
                <w:noProof/>
                <w:webHidden/>
              </w:rPr>
              <w:fldChar w:fldCharType="begin"/>
            </w:r>
            <w:r w:rsidR="004131E3">
              <w:rPr>
                <w:noProof/>
                <w:webHidden/>
              </w:rPr>
              <w:instrText xml:space="preserve"> PAGEREF _Toc513483491 \h </w:instrText>
            </w:r>
            <w:r w:rsidR="004131E3">
              <w:rPr>
                <w:noProof/>
                <w:webHidden/>
              </w:rPr>
            </w:r>
            <w:r w:rsidR="004131E3">
              <w:rPr>
                <w:noProof/>
                <w:webHidden/>
              </w:rPr>
              <w:fldChar w:fldCharType="separate"/>
            </w:r>
            <w:r w:rsidR="004131E3">
              <w:rPr>
                <w:noProof/>
                <w:webHidden/>
              </w:rPr>
              <w:t>9</w:t>
            </w:r>
            <w:r w:rsidR="004131E3">
              <w:rPr>
                <w:noProof/>
                <w:webHidden/>
              </w:rPr>
              <w:fldChar w:fldCharType="end"/>
            </w:r>
          </w:hyperlink>
        </w:p>
        <w:p w:rsidR="004131E3" w:rsidRDefault="009A3E5D">
          <w:pPr>
            <w:pStyle w:val="TDC2"/>
            <w:rPr>
              <w:rFonts w:asciiTheme="minorHAnsi" w:eastAsiaTheme="minorEastAsia" w:hAnsiTheme="minorHAnsi" w:cstheme="minorBidi"/>
              <w:noProof/>
              <w:sz w:val="22"/>
              <w:szCs w:val="22"/>
              <w:bdr w:val="none" w:sz="0" w:space="0" w:color="auto"/>
              <w:lang w:eastAsia="es-MX"/>
            </w:rPr>
          </w:pPr>
          <w:hyperlink w:anchor="_Toc513483492" w:history="1">
            <w:r w:rsidR="004131E3" w:rsidRPr="0016000D">
              <w:rPr>
                <w:rStyle w:val="Hipervnculo"/>
                <w:rFonts w:ascii="Palatino Linotype" w:eastAsia="Times New Roman" w:hAnsi="Palatino Linotype" w:cstheme="majorBidi"/>
                <w:b/>
                <w:noProof/>
                <w:lang w:eastAsia="es-MX"/>
              </w:rPr>
              <w:t>V. Conclusión.</w:t>
            </w:r>
            <w:r w:rsidR="004131E3">
              <w:rPr>
                <w:noProof/>
                <w:webHidden/>
              </w:rPr>
              <w:tab/>
            </w:r>
            <w:r w:rsidR="004131E3">
              <w:rPr>
                <w:noProof/>
                <w:webHidden/>
              </w:rPr>
              <w:fldChar w:fldCharType="begin"/>
            </w:r>
            <w:r w:rsidR="004131E3">
              <w:rPr>
                <w:noProof/>
                <w:webHidden/>
              </w:rPr>
              <w:instrText xml:space="preserve"> PAGEREF _Toc513483492 \h </w:instrText>
            </w:r>
            <w:r w:rsidR="004131E3">
              <w:rPr>
                <w:noProof/>
                <w:webHidden/>
              </w:rPr>
            </w:r>
            <w:r w:rsidR="004131E3">
              <w:rPr>
                <w:noProof/>
                <w:webHidden/>
              </w:rPr>
              <w:fldChar w:fldCharType="separate"/>
            </w:r>
            <w:r w:rsidR="004131E3">
              <w:rPr>
                <w:noProof/>
                <w:webHidden/>
              </w:rPr>
              <w:t>12</w:t>
            </w:r>
            <w:r w:rsidR="004131E3">
              <w:rPr>
                <w:noProof/>
                <w:webHidden/>
              </w:rPr>
              <w:fldChar w:fldCharType="end"/>
            </w:r>
          </w:hyperlink>
        </w:p>
        <w:p w:rsidR="00B82DF9" w:rsidRDefault="00B82DF9" w:rsidP="00B82DF9">
          <w:pPr>
            <w:spacing w:line="360" w:lineRule="auto"/>
          </w:pPr>
          <w:r>
            <w:rPr>
              <w:b/>
              <w:bCs/>
            </w:rPr>
            <w:fldChar w:fldCharType="end"/>
          </w:r>
        </w:p>
      </w:sdtContent>
    </w:sdt>
    <w:p w:rsidR="00925842" w:rsidRDefault="00925842" w:rsidP="0092584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7D0BA4" w:rsidRPr="00356490" w:rsidRDefault="007B70C2" w:rsidP="007D0BA4">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color w:val="000000" w:themeColor="text1"/>
        </w:rPr>
      </w:pPr>
      <w:r w:rsidRPr="007D0BA4">
        <w:rPr>
          <w:rFonts w:ascii="Palatino Linotype" w:hAnsi="Palatino Linotype" w:cs="Arial"/>
        </w:rPr>
        <w:t xml:space="preserve">He concurrido con mi voto disidente de la presente resolución emitida por el Pleno del Instituto de Transparencia, Acceso a la Información Pública y Protección de Datos Personales del Estado de México y Municipios, </w:t>
      </w:r>
      <w:r w:rsidR="007D0BA4" w:rsidRPr="00117298">
        <w:rPr>
          <w:rFonts w:ascii="Palatino Linotype" w:hAnsi="Palatino Linotype" w:cs="Arial"/>
          <w:color w:val="000000" w:themeColor="text1"/>
        </w:rPr>
        <w:t xml:space="preserve">en su Octava sesión ordinaria de fecha </w:t>
      </w:r>
      <w:r w:rsidR="007D0BA4" w:rsidRPr="00117298">
        <w:rPr>
          <w:rFonts w:ascii="Palatino Linotype" w:eastAsia="Times New Roman" w:hAnsi="Palatino Linotype" w:cs="Arial"/>
          <w:color w:val="000000"/>
          <w:lang w:eastAsia="es-MX"/>
        </w:rPr>
        <w:t>veintisiete (27) de febrero de dos mil dieciocho</w:t>
      </w:r>
      <w:r w:rsidR="007D0BA4" w:rsidRPr="00117298">
        <w:rPr>
          <w:rFonts w:ascii="Palatino Linotype" w:hAnsi="Palatino Linotype" w:cs="Arial"/>
          <w:color w:val="000000" w:themeColor="text1"/>
        </w:rPr>
        <w:t xml:space="preserve">, en </w:t>
      </w:r>
      <w:r w:rsidR="007D0BA4">
        <w:rPr>
          <w:rFonts w:ascii="Palatino Linotype" w:hAnsi="Palatino Linotype" w:cs="Arial"/>
          <w:color w:val="000000" w:themeColor="text1"/>
        </w:rPr>
        <w:t>los</w:t>
      </w:r>
      <w:r w:rsidR="007D0BA4" w:rsidRPr="00117298">
        <w:rPr>
          <w:rFonts w:ascii="Palatino Linotype" w:hAnsi="Palatino Linotype" w:cs="Arial"/>
          <w:color w:val="000000" w:themeColor="text1"/>
        </w:rPr>
        <w:t xml:space="preserve"> recurso</w:t>
      </w:r>
      <w:r w:rsidR="007D0BA4">
        <w:rPr>
          <w:rFonts w:ascii="Palatino Linotype" w:hAnsi="Palatino Linotype" w:cs="Arial"/>
          <w:color w:val="000000" w:themeColor="text1"/>
        </w:rPr>
        <w:t>s</w:t>
      </w:r>
      <w:r w:rsidR="007D0BA4" w:rsidRPr="00117298">
        <w:rPr>
          <w:rFonts w:ascii="Palatino Linotype" w:hAnsi="Palatino Linotype" w:cs="Arial"/>
          <w:color w:val="000000" w:themeColor="text1"/>
        </w:rPr>
        <w:t xml:space="preserve"> de revisión promovido</w:t>
      </w:r>
      <w:r w:rsidR="007D0BA4">
        <w:rPr>
          <w:rFonts w:ascii="Palatino Linotype" w:hAnsi="Palatino Linotype" w:cs="Arial"/>
          <w:color w:val="000000" w:themeColor="text1"/>
        </w:rPr>
        <w:t>s</w:t>
      </w:r>
      <w:r w:rsidR="007D0BA4" w:rsidRPr="00117298">
        <w:rPr>
          <w:rFonts w:ascii="Palatino Linotype" w:hAnsi="Palatino Linotype" w:cs="Arial"/>
          <w:color w:val="000000" w:themeColor="text1"/>
        </w:rPr>
        <w:t xml:space="preserve"> por </w:t>
      </w:r>
      <w:r w:rsidR="009A3E5D" w:rsidRPr="009A3E5D">
        <w:rPr>
          <w:rFonts w:ascii="Palatino Linotype" w:hAnsi="Palatino Linotype" w:cs="Tahoma"/>
          <w:b/>
          <w:bCs/>
          <w:color w:val="0D0D0D" w:themeColor="text1" w:themeTint="F2"/>
          <w:highlight w:val="black"/>
        </w:rPr>
        <w:t>-------------------------</w:t>
      </w:r>
      <w:r w:rsidR="007D0BA4" w:rsidRPr="00117298">
        <w:rPr>
          <w:rFonts w:ascii="Palatino Linotype" w:hAnsi="Palatino Linotype"/>
          <w:b/>
        </w:rPr>
        <w:t xml:space="preserve"> </w:t>
      </w:r>
      <w:r w:rsidR="007D0BA4" w:rsidRPr="00117298">
        <w:rPr>
          <w:rFonts w:ascii="Palatino Linotype" w:hAnsi="Palatino Linotype"/>
        </w:rPr>
        <w:t xml:space="preserve">en contra de la </w:t>
      </w:r>
      <w:r w:rsidR="007D0BA4" w:rsidRPr="00117298">
        <w:rPr>
          <w:rFonts w:ascii="Palatino Linotype" w:hAnsi="Palatino Linotype"/>
          <w:b/>
        </w:rPr>
        <w:t xml:space="preserve">Universidad Politécnica del Valle de Toluca, </w:t>
      </w:r>
      <w:r w:rsidR="007D0BA4" w:rsidRPr="00117298">
        <w:rPr>
          <w:rFonts w:ascii="Palatino Linotype" w:hAnsi="Palatino Linotype" w:cs="Arial"/>
          <w:color w:val="000000" w:themeColor="text1"/>
        </w:rPr>
        <w:t>procedimiento</w:t>
      </w:r>
      <w:r w:rsidR="007D0BA4">
        <w:rPr>
          <w:rFonts w:ascii="Palatino Linotype" w:hAnsi="Palatino Linotype" w:cs="Arial"/>
          <w:color w:val="000000" w:themeColor="text1"/>
        </w:rPr>
        <w:t>s</w:t>
      </w:r>
      <w:r w:rsidR="007D0BA4" w:rsidRPr="00117298">
        <w:rPr>
          <w:rFonts w:ascii="Palatino Linotype" w:hAnsi="Palatino Linotype" w:cs="Arial"/>
          <w:color w:val="000000" w:themeColor="text1"/>
        </w:rPr>
        <w:t xml:space="preserve"> a</w:t>
      </w:r>
      <w:r w:rsidR="007D0BA4">
        <w:rPr>
          <w:rFonts w:ascii="Palatino Linotype" w:hAnsi="Palatino Linotype" w:cs="Arial"/>
          <w:color w:val="000000" w:themeColor="text1"/>
        </w:rPr>
        <w:t xml:space="preserve"> </w:t>
      </w:r>
      <w:r w:rsidR="007D0BA4" w:rsidRPr="00117298">
        <w:rPr>
          <w:rFonts w:ascii="Palatino Linotype" w:hAnsi="Palatino Linotype" w:cs="Arial"/>
          <w:color w:val="000000" w:themeColor="text1"/>
        </w:rPr>
        <w:t>l</w:t>
      </w:r>
      <w:r w:rsidR="007D0BA4">
        <w:rPr>
          <w:rFonts w:ascii="Palatino Linotype" w:hAnsi="Palatino Linotype" w:cs="Arial"/>
          <w:color w:val="000000" w:themeColor="text1"/>
        </w:rPr>
        <w:t>os</w:t>
      </w:r>
      <w:r w:rsidR="007D0BA4" w:rsidRPr="00117298">
        <w:rPr>
          <w:rFonts w:ascii="Palatino Linotype" w:hAnsi="Palatino Linotype" w:cs="Arial"/>
          <w:color w:val="000000" w:themeColor="text1"/>
        </w:rPr>
        <w:t xml:space="preserve"> que se le</w:t>
      </w:r>
      <w:r w:rsidR="007D0BA4">
        <w:rPr>
          <w:rFonts w:ascii="Palatino Linotype" w:hAnsi="Palatino Linotype" w:cs="Arial"/>
          <w:color w:val="000000" w:themeColor="text1"/>
        </w:rPr>
        <w:t>s</w:t>
      </w:r>
      <w:r w:rsidR="007D0BA4" w:rsidRPr="00117298">
        <w:rPr>
          <w:rFonts w:ascii="Palatino Linotype" w:hAnsi="Palatino Linotype" w:cs="Arial"/>
          <w:color w:val="000000" w:themeColor="text1"/>
        </w:rPr>
        <w:t xml:space="preserve"> asignó el número de expediente </w:t>
      </w:r>
      <w:r w:rsidR="007D0BA4" w:rsidRPr="00117298">
        <w:rPr>
          <w:rFonts w:ascii="Palatino Linotype" w:hAnsi="Palatino Linotype" w:cs="Arial"/>
          <w:b/>
          <w:color w:val="000000" w:themeColor="text1"/>
        </w:rPr>
        <w:t>046</w:t>
      </w:r>
      <w:r w:rsidR="007D0BA4">
        <w:rPr>
          <w:rFonts w:ascii="Palatino Linotype" w:hAnsi="Palatino Linotype" w:cs="Arial"/>
          <w:b/>
          <w:color w:val="000000" w:themeColor="text1"/>
        </w:rPr>
        <w:t>56</w:t>
      </w:r>
      <w:r w:rsidR="007D0BA4" w:rsidRPr="00117298">
        <w:rPr>
          <w:rFonts w:ascii="Palatino Linotype" w:hAnsi="Palatino Linotype" w:cs="Arial"/>
          <w:b/>
          <w:color w:val="000000" w:themeColor="text1"/>
        </w:rPr>
        <w:t>/INFOEM/IP/RR/2018</w:t>
      </w:r>
      <w:r w:rsidR="007D0BA4">
        <w:rPr>
          <w:rFonts w:ascii="Palatino Linotype" w:hAnsi="Palatino Linotype" w:cs="Arial"/>
          <w:b/>
          <w:color w:val="000000" w:themeColor="text1"/>
        </w:rPr>
        <w:t xml:space="preserve"> </w:t>
      </w:r>
      <w:r w:rsidR="007D0BA4" w:rsidRPr="00117298">
        <w:rPr>
          <w:rFonts w:ascii="Palatino Linotype" w:hAnsi="Palatino Linotype" w:cs="Arial"/>
          <w:color w:val="000000" w:themeColor="text1"/>
        </w:rPr>
        <w:t>y</w:t>
      </w:r>
      <w:r w:rsidR="007D0BA4">
        <w:rPr>
          <w:rFonts w:ascii="Palatino Linotype" w:hAnsi="Palatino Linotype" w:cs="Arial"/>
          <w:b/>
          <w:color w:val="000000" w:themeColor="text1"/>
        </w:rPr>
        <w:t xml:space="preserve"> 04657</w:t>
      </w:r>
      <w:r w:rsidR="007D0BA4" w:rsidRPr="00117298">
        <w:rPr>
          <w:rFonts w:ascii="Palatino Linotype" w:hAnsi="Palatino Linotype" w:cs="Arial"/>
          <w:b/>
          <w:color w:val="000000" w:themeColor="text1"/>
        </w:rPr>
        <w:t>/INFOEM/IP/RR/2018</w:t>
      </w:r>
      <w:r w:rsidR="007D0BA4" w:rsidRPr="00117298">
        <w:rPr>
          <w:rFonts w:ascii="Palatino Linotype" w:eastAsia="Times New Roman" w:hAnsi="Palatino Linotype" w:cs="Arial"/>
          <w:b/>
          <w:bCs/>
          <w:color w:val="000000" w:themeColor="text1"/>
          <w:lang w:eastAsia="es-ES"/>
        </w:rPr>
        <w:t>.</w:t>
      </w:r>
    </w:p>
    <w:p w:rsidR="00356490" w:rsidRPr="00356490" w:rsidRDefault="00356490" w:rsidP="0035649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7B70C2" w:rsidRPr="00356490" w:rsidRDefault="007B70C2" w:rsidP="0035649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color w:val="000000" w:themeColor="text1"/>
        </w:rPr>
      </w:pPr>
      <w:r w:rsidRPr="00356490">
        <w:rPr>
          <w:rFonts w:ascii="Palatino Linotype" w:hAnsi="Palatino Linotype" w:cs="Arial"/>
        </w:rPr>
        <w:lastRenderedPageBreak/>
        <w:t xml:space="preserve">Por los motivos y las razones de hecho y de derecho que se señalan a continuación y en términos de lo señalado por </w:t>
      </w:r>
      <w:r w:rsidR="00E12C1D" w:rsidRPr="00356490">
        <w:rPr>
          <w:rFonts w:ascii="Palatino Linotype" w:hAnsi="Palatino Linotype" w:cs="Arial"/>
        </w:rPr>
        <w:t>el</w:t>
      </w:r>
      <w:r w:rsidRPr="00356490">
        <w:rPr>
          <w:rFonts w:ascii="Palatino Linotype" w:hAnsi="Palatino Linotype" w:cs="Arial"/>
        </w:rPr>
        <w:t xml:space="preserve"> </w:t>
      </w:r>
      <w:r w:rsidR="00E12C1D" w:rsidRPr="00356490">
        <w:rPr>
          <w:rFonts w:ascii="Palatino Linotype" w:hAnsi="Palatino Linotype" w:cs="Arial"/>
        </w:rPr>
        <w:t>artículo</w:t>
      </w:r>
      <w:r w:rsidRPr="00356490">
        <w:rPr>
          <w:rFonts w:ascii="Palatino Linotype" w:hAnsi="Palatino Linotype" w:cs="Arial"/>
        </w:rPr>
        <w:t xml:space="preserve"> </w:t>
      </w:r>
      <w:r w:rsidR="00E12C1D" w:rsidRPr="00356490">
        <w:rPr>
          <w:rFonts w:ascii="Palatino Linotype" w:hAnsi="Palatino Linotype" w:cs="Arial"/>
        </w:rPr>
        <w:t>14</w:t>
      </w:r>
      <w:r w:rsidRPr="00356490">
        <w:rPr>
          <w:rFonts w:ascii="Palatino Linotype" w:hAnsi="Palatino Linotype" w:cs="Arial"/>
        </w:rPr>
        <w:t xml:space="preserve"> fracción </w:t>
      </w:r>
      <w:r w:rsidR="00E12C1D" w:rsidRPr="00356490">
        <w:rPr>
          <w:rFonts w:ascii="Palatino Linotype" w:hAnsi="Palatino Linotype" w:cs="Arial"/>
        </w:rPr>
        <w:t>XI</w:t>
      </w:r>
      <w:r w:rsidRPr="00356490">
        <w:rPr>
          <w:rFonts w:ascii="Palatino Linotype" w:hAnsi="Palatino Linotype" w:cs="Arial"/>
        </w:rPr>
        <w:t xml:space="preserve"> del Reglamento Interior del Instituto de Transparencia y Acceso a la Información Pública del Estado de México y Municipios form</w:t>
      </w:r>
      <w:r w:rsidR="009B6F59" w:rsidRPr="00356490">
        <w:rPr>
          <w:rFonts w:ascii="Palatino Linotype" w:hAnsi="Palatino Linotype" w:cs="Arial"/>
        </w:rPr>
        <w:t>ulo el presente voto disidente.</w:t>
      </w:r>
    </w:p>
    <w:p w:rsidR="00356490" w:rsidRPr="00356490" w:rsidRDefault="00356490" w:rsidP="0035649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4922F1" w:rsidRPr="00356490" w:rsidRDefault="007B70C2" w:rsidP="0035649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color w:val="000000" w:themeColor="text1"/>
        </w:rPr>
      </w:pPr>
      <w:r w:rsidRPr="00356490">
        <w:rPr>
          <w:rFonts w:ascii="Palatino Linotype" w:hAnsi="Palatino Linotype" w:cs="Arial"/>
          <w:color w:val="000000" w:themeColor="text1"/>
          <w:lang w:val="es-ES"/>
        </w:rPr>
        <w:t>Al presentar este voto disidente deseo manifestar lo que en su momento señalé durante la discusión de esta res</w:t>
      </w:r>
      <w:r w:rsidR="00FC0B18" w:rsidRPr="00356490">
        <w:rPr>
          <w:rFonts w:ascii="Palatino Linotype" w:hAnsi="Palatino Linotype" w:cs="Arial"/>
          <w:color w:val="000000" w:themeColor="text1"/>
          <w:lang w:val="es-ES"/>
        </w:rPr>
        <w:t>olución</w:t>
      </w:r>
      <w:r w:rsidR="007A4E77" w:rsidRPr="00356490">
        <w:rPr>
          <w:rFonts w:ascii="Palatino Linotype" w:hAnsi="Palatino Linotype" w:cs="Arial"/>
          <w:color w:val="000000" w:themeColor="text1"/>
          <w:lang w:val="es-ES"/>
        </w:rPr>
        <w:t xml:space="preserve"> en el Pleno de este órgano Garante, e</w:t>
      </w:r>
      <w:r w:rsidR="00FC0B18" w:rsidRPr="00356490">
        <w:rPr>
          <w:rFonts w:ascii="Palatino Linotype" w:hAnsi="Palatino Linotype" w:cs="Arial"/>
          <w:color w:val="000000" w:themeColor="text1"/>
          <w:lang w:val="es-ES"/>
        </w:rPr>
        <w:t xml:space="preserve">specificando que no comparto la decisión adoptada por la mayoría de los Comisionados integrantes del pleno, en el sentido de la resolución del recurso de revisión </w:t>
      </w:r>
      <w:r w:rsidR="004922F1" w:rsidRPr="00356490">
        <w:rPr>
          <w:rFonts w:ascii="Palatino Linotype" w:hAnsi="Palatino Linotype"/>
        </w:rPr>
        <w:t>al rubro indicado.</w:t>
      </w:r>
    </w:p>
    <w:p w:rsidR="007B70C2" w:rsidRPr="0060362D" w:rsidRDefault="007B70C2" w:rsidP="007B70C2">
      <w:pPr>
        <w:spacing w:line="276" w:lineRule="auto"/>
        <w:jc w:val="both"/>
        <w:rPr>
          <w:rFonts w:ascii="Palatino Linotype" w:hAnsi="Palatino Linotype" w:cs="Arial"/>
          <w:color w:val="000000" w:themeColor="text1"/>
          <w:lang w:val="es-ES"/>
        </w:rPr>
      </w:pPr>
    </w:p>
    <w:p w:rsidR="007B70C2" w:rsidRPr="00B82DF9" w:rsidRDefault="00D37C48" w:rsidP="00B82DF9">
      <w:pPr>
        <w:pStyle w:val="Ttulo2"/>
        <w:jc w:val="both"/>
        <w:rPr>
          <w:rFonts w:ascii="Palatino Linotype" w:hAnsi="Palatino Linotype"/>
          <w:b/>
          <w:color w:val="000000" w:themeColor="text1"/>
          <w:sz w:val="24"/>
          <w:szCs w:val="24"/>
          <w:lang w:val="es-ES"/>
        </w:rPr>
      </w:pPr>
      <w:bookmarkStart w:id="0" w:name="_Toc513483488"/>
      <w:r w:rsidRPr="00B82DF9">
        <w:rPr>
          <w:rFonts w:ascii="Palatino Linotype" w:hAnsi="Palatino Linotype"/>
          <w:b/>
          <w:color w:val="000000" w:themeColor="text1"/>
          <w:sz w:val="24"/>
          <w:szCs w:val="24"/>
          <w:lang w:val="es-ES"/>
        </w:rPr>
        <w:t>I.</w:t>
      </w:r>
      <w:r w:rsidR="007B70C2" w:rsidRPr="00B82DF9">
        <w:rPr>
          <w:rFonts w:ascii="Palatino Linotype" w:hAnsi="Palatino Linotype"/>
          <w:b/>
          <w:color w:val="000000" w:themeColor="text1"/>
          <w:sz w:val="24"/>
          <w:szCs w:val="24"/>
          <w:lang w:val="es-ES"/>
        </w:rPr>
        <w:t xml:space="preserve"> </w:t>
      </w:r>
      <w:r w:rsidR="00FC0B18">
        <w:rPr>
          <w:rFonts w:ascii="Palatino Linotype" w:hAnsi="Palatino Linotype"/>
          <w:b/>
          <w:color w:val="000000" w:themeColor="text1"/>
          <w:sz w:val="24"/>
          <w:szCs w:val="24"/>
          <w:lang w:val="es-ES"/>
        </w:rPr>
        <w:t>De los Requerimientos</w:t>
      </w:r>
      <w:r w:rsidR="007B70C2" w:rsidRPr="00B82DF9">
        <w:rPr>
          <w:rFonts w:ascii="Palatino Linotype" w:hAnsi="Palatino Linotype"/>
          <w:b/>
          <w:color w:val="000000" w:themeColor="text1"/>
          <w:sz w:val="24"/>
          <w:szCs w:val="24"/>
          <w:lang w:val="es-ES"/>
        </w:rPr>
        <w:t>.</w:t>
      </w:r>
      <w:bookmarkEnd w:id="0"/>
      <w:r w:rsidR="007B70C2" w:rsidRPr="00B82DF9">
        <w:rPr>
          <w:rFonts w:ascii="Palatino Linotype" w:hAnsi="Palatino Linotype"/>
          <w:b/>
          <w:color w:val="000000" w:themeColor="text1"/>
          <w:sz w:val="24"/>
          <w:szCs w:val="24"/>
          <w:lang w:val="es-ES"/>
        </w:rPr>
        <w:t xml:space="preserve"> </w:t>
      </w:r>
    </w:p>
    <w:p w:rsidR="007B70C2" w:rsidRPr="0060362D" w:rsidRDefault="007B70C2" w:rsidP="007B70C2">
      <w:pPr>
        <w:spacing w:line="276" w:lineRule="auto"/>
        <w:jc w:val="both"/>
        <w:rPr>
          <w:rFonts w:ascii="Palatino Linotype" w:hAnsi="Palatino Linotype" w:cs="Arial"/>
          <w:color w:val="000000" w:themeColor="text1"/>
          <w:lang w:val="es-ES"/>
        </w:rPr>
      </w:pPr>
    </w:p>
    <w:p w:rsidR="00356490" w:rsidRPr="00356490" w:rsidRDefault="000F1159" w:rsidP="00356490">
      <w:pPr>
        <w:pStyle w:val="Prrafodelista"/>
        <w:numPr>
          <w:ilvl w:val="0"/>
          <w:numId w:val="1"/>
        </w:numPr>
        <w:spacing w:line="360" w:lineRule="auto"/>
        <w:ind w:left="0" w:firstLine="0"/>
        <w:jc w:val="both"/>
        <w:rPr>
          <w:rFonts w:ascii="Palatino Linotype" w:eastAsia="Calibri" w:hAnsi="Palatino Linotype" w:cs="Tahoma"/>
          <w:bCs/>
          <w:lang w:val="es-ES"/>
        </w:rPr>
      </w:pPr>
      <w:r w:rsidRPr="00356490">
        <w:rPr>
          <w:rFonts w:ascii="Palatino Linotype" w:hAnsi="Palatino Linotype" w:cs="Arial"/>
        </w:rPr>
        <w:t xml:space="preserve">Primeramente debemos partir del hecho </w:t>
      </w:r>
      <w:r w:rsidR="00C85784" w:rsidRPr="00356490">
        <w:rPr>
          <w:rFonts w:ascii="Palatino Linotype" w:hAnsi="Palatino Linotype" w:cs="Arial"/>
        </w:rPr>
        <w:t xml:space="preserve">de </w:t>
      </w:r>
      <w:r w:rsidRPr="00356490">
        <w:rPr>
          <w:rFonts w:ascii="Palatino Linotype" w:hAnsi="Palatino Linotype" w:cs="Arial"/>
        </w:rPr>
        <w:t xml:space="preserve">que </w:t>
      </w:r>
      <w:r w:rsidR="00356490" w:rsidRPr="00356490">
        <w:rPr>
          <w:rFonts w:ascii="Palatino Linotype" w:hAnsi="Palatino Linotype" w:cs="Arial"/>
        </w:rPr>
        <w:t xml:space="preserve">el </w:t>
      </w:r>
      <w:r w:rsidRPr="00356490">
        <w:rPr>
          <w:rFonts w:ascii="Palatino Linotype" w:hAnsi="Palatino Linotype" w:cs="Arial"/>
        </w:rPr>
        <w:t xml:space="preserve">particular </w:t>
      </w:r>
      <w:r w:rsidR="00C36B1F" w:rsidRPr="00356490">
        <w:rPr>
          <w:rFonts w:ascii="Palatino Linotype" w:hAnsi="Palatino Linotype" w:cs="Arial"/>
        </w:rPr>
        <w:t>está</w:t>
      </w:r>
      <w:r w:rsidRPr="00356490">
        <w:rPr>
          <w:rFonts w:ascii="Palatino Linotype" w:hAnsi="Palatino Linotype" w:cs="Arial"/>
        </w:rPr>
        <w:t xml:space="preserve"> interesad</w:t>
      </w:r>
      <w:r w:rsidR="00356490" w:rsidRPr="00356490">
        <w:rPr>
          <w:rFonts w:ascii="Palatino Linotype" w:hAnsi="Palatino Linotype" w:cs="Arial"/>
        </w:rPr>
        <w:t>o</w:t>
      </w:r>
      <w:r w:rsidRPr="00356490">
        <w:rPr>
          <w:rFonts w:ascii="Palatino Linotype" w:hAnsi="Palatino Linotype" w:cs="Arial"/>
        </w:rPr>
        <w:t xml:space="preserve"> en acceder a</w:t>
      </w:r>
      <w:r w:rsidR="00356490" w:rsidRPr="00356490">
        <w:rPr>
          <w:rFonts w:ascii="Palatino Linotype" w:hAnsi="Palatino Linotype" w:cs="Arial"/>
        </w:rPr>
        <w:t xml:space="preserve"> la </w:t>
      </w:r>
      <w:r w:rsidR="00356490" w:rsidRPr="00356490">
        <w:rPr>
          <w:rFonts w:ascii="Palatino Linotype" w:eastAsia="Calibri" w:hAnsi="Palatino Linotype" w:cs="Tahoma"/>
          <w:bCs/>
          <w:lang w:val="es-ES"/>
        </w:rPr>
        <w:t xml:space="preserve">evidencia de la convocatoria realizada de torneos internos para integrar a los equipos representativos en los </w:t>
      </w:r>
      <w:proofErr w:type="spellStart"/>
      <w:r w:rsidR="00356490" w:rsidRPr="00356490">
        <w:rPr>
          <w:rFonts w:ascii="Palatino Linotype" w:eastAsia="Calibri" w:hAnsi="Palatino Linotype" w:cs="Tahoma"/>
          <w:bCs/>
          <w:lang w:val="es-ES"/>
        </w:rPr>
        <w:t>interpolitécnicos</w:t>
      </w:r>
      <w:proofErr w:type="spellEnd"/>
      <w:r w:rsidR="00356490" w:rsidRPr="00356490">
        <w:rPr>
          <w:rFonts w:ascii="Palatino Linotype" w:eastAsia="Calibri" w:hAnsi="Palatino Linotype" w:cs="Tahoma"/>
          <w:bCs/>
          <w:lang w:val="es-ES"/>
        </w:rPr>
        <w:t xml:space="preserve"> </w:t>
      </w:r>
      <w:r w:rsidR="00356490" w:rsidRPr="00356490">
        <w:rPr>
          <w:rFonts w:ascii="Palatino Linotype" w:eastAsia="Calibri" w:hAnsi="Palatino Linotype" w:cs="Tahoma"/>
          <w:iCs/>
          <w:lang w:eastAsia="es-ES_tradnl"/>
        </w:rPr>
        <w:t>dos mil diecinueve,</w:t>
      </w:r>
      <w:r w:rsidR="00356490" w:rsidRPr="00356490" w:rsidDel="00DD632B">
        <w:rPr>
          <w:rFonts w:ascii="Palatino Linotype" w:eastAsia="Calibri" w:hAnsi="Palatino Linotype" w:cs="Tahoma"/>
          <w:bCs/>
          <w:lang w:val="es-ES"/>
        </w:rPr>
        <w:t xml:space="preserve"> </w:t>
      </w:r>
      <w:r w:rsidR="00356490" w:rsidRPr="00356490">
        <w:rPr>
          <w:rFonts w:ascii="Palatino Linotype" w:eastAsia="Calibri" w:hAnsi="Palatino Linotype" w:cs="Tahoma"/>
          <w:bCs/>
          <w:lang w:val="es-ES"/>
        </w:rPr>
        <w:t xml:space="preserve">así como de las cédulas arbitrales de dichos torneos internos. </w:t>
      </w:r>
    </w:p>
    <w:p w:rsidR="00356490" w:rsidRPr="00356490" w:rsidRDefault="00356490" w:rsidP="00356490">
      <w:pPr>
        <w:pStyle w:val="Prrafodelista"/>
        <w:spacing w:line="360" w:lineRule="auto"/>
        <w:ind w:left="0"/>
        <w:jc w:val="both"/>
        <w:rPr>
          <w:rFonts w:ascii="Palatino Linotype" w:eastAsia="Calibri" w:hAnsi="Palatino Linotype" w:cs="Tahoma"/>
          <w:bCs/>
          <w:lang w:val="es-ES"/>
        </w:rPr>
      </w:pPr>
    </w:p>
    <w:p w:rsidR="00427F2C" w:rsidRPr="00B862E2" w:rsidRDefault="00356490" w:rsidP="00356490">
      <w:pPr>
        <w:pStyle w:val="Sinespaciado"/>
        <w:numPr>
          <w:ilvl w:val="0"/>
          <w:numId w:val="1"/>
        </w:numPr>
        <w:spacing w:line="360" w:lineRule="auto"/>
        <w:ind w:left="0" w:right="49" w:firstLine="0"/>
        <w:jc w:val="both"/>
        <w:rPr>
          <w:rFonts w:ascii="Palatino Linotype" w:hAnsi="Palatino Linotype" w:cs="Arial"/>
          <w:sz w:val="24"/>
          <w:szCs w:val="24"/>
        </w:rPr>
      </w:pPr>
      <w:r w:rsidRPr="00356490">
        <w:rPr>
          <w:rFonts w:ascii="Palatino Linotype" w:eastAsia="Calibri" w:hAnsi="Palatino Linotype" w:cs="Tahoma"/>
          <w:sz w:val="24"/>
          <w:szCs w:val="24"/>
          <w:lang w:eastAsia="es-ES_tradnl"/>
        </w:rPr>
        <w:t xml:space="preserve">En respuesta, </w:t>
      </w:r>
      <w:r w:rsidR="00B862E2">
        <w:rPr>
          <w:rFonts w:ascii="Palatino Linotype" w:eastAsia="Calibri" w:hAnsi="Palatino Linotype" w:cs="Tahoma"/>
          <w:sz w:val="24"/>
          <w:szCs w:val="24"/>
          <w:lang w:eastAsia="es-ES_tradnl"/>
        </w:rPr>
        <w:t>se</w:t>
      </w:r>
      <w:r w:rsidRPr="00356490">
        <w:rPr>
          <w:rFonts w:ascii="Palatino Linotype" w:eastAsia="Calibri" w:hAnsi="Palatino Linotype" w:cs="Tahoma"/>
          <w:sz w:val="24"/>
          <w:szCs w:val="24"/>
          <w:lang w:eastAsia="es-ES_tradnl"/>
        </w:rPr>
        <w:t xml:space="preserve"> refirió </w:t>
      </w:r>
      <w:r w:rsidR="000F1177">
        <w:rPr>
          <w:rFonts w:ascii="Palatino Linotype" w:eastAsia="Calibri" w:hAnsi="Palatino Linotype" w:cs="Tahoma"/>
          <w:sz w:val="24"/>
          <w:szCs w:val="24"/>
          <w:lang w:eastAsia="es-ES_tradnl"/>
        </w:rPr>
        <w:t xml:space="preserve">que </w:t>
      </w:r>
      <w:r w:rsidR="00C37FD4" w:rsidRPr="00B862E2">
        <w:rPr>
          <w:rFonts w:ascii="Palatino Linotype" w:eastAsia="Calibri" w:hAnsi="Palatino Linotype" w:cs="Tahoma"/>
          <w:b/>
          <w:sz w:val="24"/>
          <w:szCs w:val="24"/>
          <w:u w:val="single"/>
          <w:lang w:eastAsia="es-ES_tradnl"/>
        </w:rPr>
        <w:t>tras una búsqueda exhaustiva y razonable</w:t>
      </w:r>
      <w:r w:rsidR="00C37FD4">
        <w:rPr>
          <w:rFonts w:ascii="Palatino Linotype" w:eastAsia="Calibri" w:hAnsi="Palatino Linotype" w:cs="Tahoma"/>
          <w:sz w:val="24"/>
          <w:szCs w:val="24"/>
          <w:lang w:eastAsia="es-ES_tradnl"/>
        </w:rPr>
        <w:t xml:space="preserve"> </w:t>
      </w:r>
      <w:r w:rsidRPr="00356490">
        <w:rPr>
          <w:rFonts w:ascii="Palatino Linotype" w:eastAsia="Calibri" w:hAnsi="Palatino Linotype" w:cs="Tahoma"/>
          <w:sz w:val="24"/>
          <w:szCs w:val="24"/>
          <w:lang w:eastAsia="es-ES_tradnl"/>
        </w:rPr>
        <w:t>no posee, ni generó co</w:t>
      </w:r>
      <w:r w:rsidR="000F1177">
        <w:rPr>
          <w:rFonts w:ascii="Palatino Linotype" w:eastAsia="Calibri" w:hAnsi="Palatino Linotype" w:cs="Tahoma"/>
          <w:sz w:val="24"/>
          <w:szCs w:val="24"/>
          <w:lang w:eastAsia="es-ES_tradnl"/>
        </w:rPr>
        <w:t>nvocatorias de torneos internos</w:t>
      </w:r>
      <w:r w:rsidRPr="00356490">
        <w:rPr>
          <w:rFonts w:ascii="Palatino Linotype" w:eastAsia="Calibri" w:hAnsi="Palatino Linotype" w:cs="Tahoma"/>
          <w:sz w:val="24"/>
          <w:szCs w:val="24"/>
          <w:lang w:eastAsia="es-ES_tradnl"/>
        </w:rPr>
        <w:t xml:space="preserve"> ni de cédulas arbitrales, y a su vez adjuntó los oficios proporcionados como respuesta al requerimiento informativo, por parte de la Jefa de Departamento de Vinculación y Extensión de la </w:t>
      </w:r>
      <w:r w:rsidRPr="00356490">
        <w:rPr>
          <w:rFonts w:ascii="Palatino Linotype" w:eastAsia="Calibri" w:hAnsi="Palatino Linotype" w:cs="Tahoma"/>
          <w:sz w:val="24"/>
          <w:szCs w:val="24"/>
          <w:lang w:eastAsia="es-ES_tradnl"/>
        </w:rPr>
        <w:lastRenderedPageBreak/>
        <w:t>Universidad</w:t>
      </w:r>
      <w:r w:rsidR="00B862E2">
        <w:rPr>
          <w:rFonts w:ascii="Palatino Linotype" w:eastAsia="Calibri" w:hAnsi="Palatino Linotype" w:cs="Tahoma"/>
          <w:sz w:val="24"/>
          <w:szCs w:val="24"/>
          <w:lang w:eastAsia="es-ES_tradnl"/>
        </w:rPr>
        <w:t xml:space="preserve"> y la ponencia que resolvió el recurso de revisión validó dicha respuesta.</w:t>
      </w:r>
    </w:p>
    <w:p w:rsidR="00B862E2" w:rsidRPr="00C37FD4" w:rsidRDefault="00B862E2" w:rsidP="00B862E2">
      <w:pPr>
        <w:pStyle w:val="Sinespaciado"/>
        <w:spacing w:line="360" w:lineRule="auto"/>
        <w:ind w:right="49"/>
        <w:jc w:val="both"/>
        <w:rPr>
          <w:rFonts w:ascii="Palatino Linotype" w:hAnsi="Palatino Linotype" w:cs="Arial"/>
          <w:sz w:val="24"/>
          <w:szCs w:val="24"/>
        </w:rPr>
      </w:pPr>
    </w:p>
    <w:p w:rsidR="000F1177" w:rsidRPr="00106A83" w:rsidRDefault="00427F2C" w:rsidP="00C37FD4">
      <w:pPr>
        <w:pStyle w:val="Sinespaciado"/>
        <w:numPr>
          <w:ilvl w:val="0"/>
          <w:numId w:val="1"/>
        </w:numPr>
        <w:spacing w:line="360" w:lineRule="auto"/>
        <w:ind w:left="0" w:right="49" w:firstLine="0"/>
        <w:jc w:val="both"/>
        <w:rPr>
          <w:rFonts w:ascii="Palatino Linotype" w:hAnsi="Palatino Linotype" w:cs="Arial"/>
          <w:sz w:val="24"/>
          <w:szCs w:val="24"/>
        </w:rPr>
      </w:pPr>
      <w:r w:rsidRPr="000F1177">
        <w:rPr>
          <w:rFonts w:ascii="Palatino Linotype" w:hAnsi="Palatino Linotype" w:cs="Arial"/>
          <w:sz w:val="24"/>
          <w:szCs w:val="24"/>
        </w:rPr>
        <w:t xml:space="preserve">Es de señalar que, lo que se pretende conocer es solo </w:t>
      </w:r>
      <w:r w:rsidR="000F1177" w:rsidRPr="000F1177">
        <w:rPr>
          <w:rFonts w:ascii="Palatino Linotype" w:eastAsia="Calibri" w:hAnsi="Palatino Linotype" w:cs="Tahoma"/>
          <w:sz w:val="24"/>
          <w:szCs w:val="24"/>
          <w:lang w:eastAsia="es-ES_tradnl"/>
        </w:rPr>
        <w:t>convocatorias de torneos internos y cédulas arbitrales de</w:t>
      </w:r>
      <w:r w:rsidR="00564B8C" w:rsidRPr="000F1177">
        <w:rPr>
          <w:rFonts w:ascii="Palatino Linotype" w:hAnsi="Palatino Linotype" w:cs="Arial"/>
          <w:sz w:val="24"/>
          <w:szCs w:val="24"/>
        </w:rPr>
        <w:t xml:space="preserve"> la Universidad en comento</w:t>
      </w:r>
      <w:r w:rsidRPr="000F1177">
        <w:rPr>
          <w:rFonts w:ascii="Palatino Linotype" w:hAnsi="Palatino Linotype" w:cs="Arial"/>
          <w:sz w:val="24"/>
          <w:szCs w:val="24"/>
        </w:rPr>
        <w:t xml:space="preserve">, </w:t>
      </w:r>
      <w:r w:rsidR="00C37FD4" w:rsidRPr="00C37FD4">
        <w:rPr>
          <w:rFonts w:ascii="Palatino Linotype" w:hAnsi="Palatino Linotype" w:cs="Arial"/>
          <w:sz w:val="24"/>
          <w:szCs w:val="24"/>
        </w:rPr>
        <w:t xml:space="preserve">pero </w:t>
      </w:r>
      <w:r w:rsidR="000F1177" w:rsidRPr="00C37FD4">
        <w:rPr>
          <w:rFonts w:ascii="Palatino Linotype" w:hAnsi="Palatino Linotype"/>
          <w:sz w:val="24"/>
          <w:szCs w:val="24"/>
        </w:rPr>
        <w:t>se observa que</w:t>
      </w:r>
      <w:r w:rsidR="000F1177" w:rsidRPr="00C37FD4">
        <w:rPr>
          <w:rFonts w:ascii="Palatino Linotype" w:hAnsi="Palatino Linotype" w:cs="Arial"/>
          <w:color w:val="000000"/>
          <w:sz w:val="24"/>
          <w:szCs w:val="24"/>
        </w:rPr>
        <w:t xml:space="preserve"> no se registró en el Sistema de Acceso a la Información Mexiquense (SAIMEX) que</w:t>
      </w:r>
      <w:r w:rsidR="000F1177" w:rsidRPr="00C37FD4">
        <w:rPr>
          <w:rFonts w:ascii="Palatino Linotype" w:hAnsi="Palatino Linotype"/>
          <w:sz w:val="24"/>
          <w:szCs w:val="24"/>
        </w:rPr>
        <w:t xml:space="preserve"> el Titular de la Unidad de Transparencia, haya realizado el requerimiento de la información a </w:t>
      </w:r>
      <w:r w:rsidR="00C37FD4" w:rsidRPr="00C37FD4">
        <w:rPr>
          <w:rFonts w:ascii="Palatino Linotype" w:hAnsi="Palatino Linotype"/>
          <w:sz w:val="24"/>
          <w:szCs w:val="24"/>
        </w:rPr>
        <w:t xml:space="preserve">todas </w:t>
      </w:r>
      <w:r w:rsidR="000F1177" w:rsidRPr="00C37FD4">
        <w:rPr>
          <w:rFonts w:ascii="Palatino Linotype" w:hAnsi="Palatino Linotype"/>
          <w:sz w:val="24"/>
          <w:szCs w:val="24"/>
        </w:rPr>
        <w:t>las áreas que de acuerdo a sus facultades pudieran tener la información solicitada, como a continuación se ilustra:</w:t>
      </w:r>
    </w:p>
    <w:p w:rsidR="00106A83" w:rsidRPr="00C37FD4" w:rsidRDefault="00106A83" w:rsidP="00106A83">
      <w:pPr>
        <w:pStyle w:val="Sinespaciado"/>
        <w:spacing w:line="360" w:lineRule="auto"/>
        <w:ind w:right="49"/>
        <w:jc w:val="both"/>
        <w:rPr>
          <w:rFonts w:ascii="Palatino Linotype" w:hAnsi="Palatino Linotype" w:cs="Arial"/>
          <w:sz w:val="24"/>
          <w:szCs w:val="24"/>
        </w:rPr>
      </w:pPr>
    </w:p>
    <w:p w:rsidR="000F1177" w:rsidRDefault="00C37FD4" w:rsidP="000F1177">
      <w:pPr>
        <w:pStyle w:val="Prrafodelista"/>
        <w:spacing w:line="360" w:lineRule="auto"/>
        <w:ind w:left="567"/>
        <w:jc w:val="both"/>
        <w:rPr>
          <w:rFonts w:ascii="Palatino Linotype" w:hAnsi="Palatino Linotype"/>
        </w:rPr>
      </w:pPr>
      <w:r>
        <w:rPr>
          <w:noProof/>
          <w:lang w:eastAsia="es-MX"/>
        </w:rPr>
        <w:drawing>
          <wp:inline distT="0" distB="0" distL="0" distR="0" wp14:anchorId="77C1DCA1" wp14:editId="3F456407">
            <wp:extent cx="4895850" cy="1714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009" t="21789" r="18703" b="57453"/>
                    <a:stretch/>
                  </pic:blipFill>
                  <pic:spPr bwMode="auto">
                    <a:xfrm>
                      <a:off x="0" y="0"/>
                      <a:ext cx="4895850" cy="1714500"/>
                    </a:xfrm>
                    <a:prstGeom prst="rect">
                      <a:avLst/>
                    </a:prstGeom>
                    <a:ln>
                      <a:noFill/>
                    </a:ln>
                    <a:extLst>
                      <a:ext uri="{53640926-AAD7-44D8-BBD7-CCE9431645EC}">
                        <a14:shadowObscured xmlns:a14="http://schemas.microsoft.com/office/drawing/2010/main"/>
                      </a:ext>
                    </a:extLst>
                  </pic:spPr>
                </pic:pic>
              </a:graphicData>
            </a:graphic>
          </wp:inline>
        </w:drawing>
      </w:r>
    </w:p>
    <w:p w:rsidR="00C37FD4" w:rsidRDefault="00C37FD4" w:rsidP="000F1177">
      <w:pPr>
        <w:pStyle w:val="Prrafodelista"/>
        <w:spacing w:line="360" w:lineRule="auto"/>
        <w:ind w:left="567"/>
        <w:jc w:val="both"/>
        <w:rPr>
          <w:rFonts w:ascii="Palatino Linotype" w:hAnsi="Palatino Linotype"/>
        </w:rPr>
      </w:pPr>
      <w:r>
        <w:rPr>
          <w:noProof/>
          <w:lang w:eastAsia="es-MX"/>
        </w:rPr>
        <w:drawing>
          <wp:inline distT="0" distB="0" distL="0" distR="0" wp14:anchorId="2D80DE78" wp14:editId="03B9493B">
            <wp:extent cx="4848225" cy="1790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481" t="22482" r="18534" b="57453"/>
                    <a:stretch/>
                  </pic:blipFill>
                  <pic:spPr bwMode="auto">
                    <a:xfrm>
                      <a:off x="0" y="0"/>
                      <a:ext cx="4848225" cy="1790700"/>
                    </a:xfrm>
                    <a:prstGeom prst="rect">
                      <a:avLst/>
                    </a:prstGeom>
                    <a:ln>
                      <a:noFill/>
                    </a:ln>
                    <a:extLst>
                      <a:ext uri="{53640926-AAD7-44D8-BBD7-CCE9431645EC}">
                        <a14:shadowObscured xmlns:a14="http://schemas.microsoft.com/office/drawing/2010/main"/>
                      </a:ext>
                    </a:extLst>
                  </pic:spPr>
                </pic:pic>
              </a:graphicData>
            </a:graphic>
          </wp:inline>
        </w:drawing>
      </w:r>
    </w:p>
    <w:p w:rsidR="000F1177" w:rsidRPr="000A3CBD" w:rsidRDefault="000F1177" w:rsidP="000F1177">
      <w:pPr>
        <w:spacing w:line="360" w:lineRule="auto"/>
        <w:jc w:val="both"/>
        <w:rPr>
          <w:rFonts w:ascii="Palatino Linotype" w:hAnsi="Palatino Linotype"/>
        </w:rPr>
      </w:pPr>
    </w:p>
    <w:p w:rsidR="000F1177" w:rsidRPr="000A3CBD" w:rsidRDefault="000F1177" w:rsidP="00C37FD4">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sidRPr="000A3CBD">
        <w:rPr>
          <w:rFonts w:ascii="Palatino Linotype" w:hAnsi="Palatino Linotype" w:cs="Arial"/>
        </w:rPr>
        <w:t xml:space="preserve">No se omite mencionar que </w:t>
      </w:r>
      <w:r w:rsidRPr="000A3CBD">
        <w:rPr>
          <w:rFonts w:ascii="Palatino Linotype" w:hAnsi="Palatino Linotype" w:cs="Arial"/>
          <w:color w:val="000000"/>
        </w:rPr>
        <w:t xml:space="preserve">para tener certeza de que efectivamente se hizo el esfuerzo de buscar en los archivos de cada una de las áreas </w:t>
      </w:r>
      <w:r w:rsidRPr="000A3CBD">
        <w:rPr>
          <w:rFonts w:ascii="Palatino Linotype" w:hAnsi="Palatino Linotype" w:cs="Arial"/>
          <w:color w:val="000000"/>
          <w:u w:val="single"/>
        </w:rPr>
        <w:t>competentes</w:t>
      </w:r>
      <w:r w:rsidRPr="000A3CBD">
        <w:rPr>
          <w:rFonts w:ascii="Palatino Linotype" w:hAnsi="Palatino Linotype" w:cs="Arial"/>
          <w:color w:val="000000"/>
        </w:rPr>
        <w:t xml:space="preserve"> era necesario requerirse la información a cada una de ellas, sin embargo ello no se realizó y se hace constar que el </w:t>
      </w:r>
      <w:r w:rsidRPr="000A3CBD">
        <w:rPr>
          <w:rFonts w:ascii="Palatino Linotype" w:hAnsi="Palatino Linotype" w:cs="Arial"/>
          <w:b/>
          <w:color w:val="000000"/>
        </w:rPr>
        <w:t xml:space="preserve">SUJETO OBLIGADO </w:t>
      </w:r>
      <w:r w:rsidRPr="000A3CBD">
        <w:rPr>
          <w:rFonts w:ascii="Palatino Linotype" w:hAnsi="Palatino Linotype" w:cs="Arial"/>
          <w:color w:val="000000"/>
        </w:rPr>
        <w:t>al responder sin haber recibido información alguna de su servidor público habilitado y sin requerir a las demás áreas competentes, a todas luces hace nugatorio el Derecho de Acceso a la Información Pública.</w:t>
      </w:r>
    </w:p>
    <w:p w:rsidR="000F1177" w:rsidRPr="000A3CBD" w:rsidRDefault="000F1177" w:rsidP="000F1177">
      <w:pPr>
        <w:pStyle w:val="Prrafodelista"/>
        <w:spacing w:line="360" w:lineRule="auto"/>
        <w:ind w:left="0"/>
        <w:jc w:val="both"/>
        <w:rPr>
          <w:rFonts w:ascii="Palatino Linotype" w:hAnsi="Palatino Linotype"/>
        </w:rPr>
      </w:pPr>
    </w:p>
    <w:p w:rsidR="000F1177" w:rsidRPr="000A3CBD" w:rsidRDefault="000F1177" w:rsidP="00C37FD4">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sidRPr="000A3CBD">
        <w:rPr>
          <w:rFonts w:ascii="Palatino Linotype" w:hAnsi="Palatino Linotype" w:cs="Arial"/>
        </w:rPr>
        <w:t xml:space="preserve">Es decir no </w:t>
      </w:r>
      <w:r w:rsidR="00B862E2">
        <w:rPr>
          <w:rFonts w:ascii="Palatino Linotype" w:hAnsi="Palatino Linotype" w:cs="Arial"/>
        </w:rPr>
        <w:t xml:space="preserve">se </w:t>
      </w:r>
      <w:r w:rsidRPr="000A3CBD">
        <w:rPr>
          <w:rFonts w:ascii="Palatino Linotype" w:hAnsi="Palatino Linotype" w:cs="Arial"/>
        </w:rPr>
        <w:t xml:space="preserve">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0A3CBD">
        <w:rPr>
          <w:rFonts w:ascii="Palatino Linotype" w:hAnsi="Palatino Linotype"/>
          <w:b/>
          <w:color w:val="000000" w:themeColor="text1"/>
        </w:rPr>
        <w:t>Ley de Transparencia y Acceso a la Información Pública del Estado de México y Municipios que a la letra dispone:</w:t>
      </w:r>
    </w:p>
    <w:p w:rsidR="000F1177" w:rsidRPr="00360B9D" w:rsidRDefault="000F1177" w:rsidP="00B862E2">
      <w:pPr>
        <w:pStyle w:val="Prrafodelista"/>
        <w:spacing w:before="240" w:after="240" w:line="360" w:lineRule="auto"/>
        <w:ind w:left="0" w:right="49"/>
        <w:jc w:val="both"/>
        <w:rPr>
          <w:rFonts w:ascii="Palatino Linotype" w:hAnsi="Palatino Linotype" w:cs="Arial"/>
          <w:szCs w:val="23"/>
        </w:rPr>
      </w:pPr>
    </w:p>
    <w:p w:rsidR="000F1177" w:rsidRPr="0089358F" w:rsidRDefault="000F1177" w:rsidP="000F1177">
      <w:pPr>
        <w:pStyle w:val="Prrafodelista"/>
        <w:spacing w:before="240" w:after="240" w:line="360" w:lineRule="auto"/>
        <w:ind w:left="567" w:right="616"/>
        <w:jc w:val="both"/>
        <w:rPr>
          <w:rFonts w:ascii="Palatino Linotype" w:hAnsi="Palatino Linotype"/>
          <w:i/>
          <w:sz w:val="22"/>
          <w:szCs w:val="22"/>
        </w:rPr>
      </w:pPr>
      <w:r w:rsidRPr="0089358F">
        <w:rPr>
          <w:rFonts w:ascii="Palatino Linotype" w:hAnsi="Palatino Linotype"/>
          <w:b/>
          <w:i/>
          <w:sz w:val="22"/>
          <w:szCs w:val="22"/>
        </w:rPr>
        <w:t>Artículo 169.</w:t>
      </w:r>
      <w:r w:rsidRPr="0089358F">
        <w:rPr>
          <w:rFonts w:ascii="Palatino Linotype" w:hAnsi="Palatino Linotype"/>
          <w:i/>
          <w:sz w:val="22"/>
          <w:szCs w:val="22"/>
        </w:rPr>
        <w:t xml:space="preserve"> Cuando la información no se encuentre en los archivos del sujeto obligado, el Comité de Transparencia:</w:t>
      </w:r>
    </w:p>
    <w:p w:rsidR="000F1177" w:rsidRPr="0089358F" w:rsidRDefault="000F1177" w:rsidP="000F1177">
      <w:pPr>
        <w:pStyle w:val="Prrafodelist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567" w:right="616" w:firstLine="0"/>
        <w:jc w:val="both"/>
        <w:rPr>
          <w:rFonts w:ascii="Palatino Linotype" w:hAnsi="Palatino Linotype"/>
          <w:b/>
          <w:i/>
          <w:sz w:val="22"/>
          <w:szCs w:val="22"/>
          <w:u w:val="single"/>
        </w:rPr>
      </w:pPr>
      <w:r w:rsidRPr="0089358F">
        <w:rPr>
          <w:rFonts w:ascii="Palatino Linotype" w:hAnsi="Palatino Linotype"/>
          <w:b/>
          <w:i/>
          <w:sz w:val="22"/>
          <w:szCs w:val="22"/>
          <w:u w:val="single"/>
        </w:rPr>
        <w:t xml:space="preserve"> Analizará el caso y tomará las medidas necesarias para localizar la información;</w:t>
      </w:r>
    </w:p>
    <w:p w:rsidR="000F1177" w:rsidRPr="0089358F" w:rsidRDefault="000F1177" w:rsidP="000F1177">
      <w:pPr>
        <w:pStyle w:val="Prrafodelista"/>
        <w:spacing w:before="240" w:after="240" w:line="360" w:lineRule="auto"/>
        <w:ind w:left="567" w:right="616"/>
        <w:jc w:val="both"/>
        <w:rPr>
          <w:rFonts w:ascii="Palatino Linotype" w:hAnsi="Palatino Linotype" w:cs="Arial"/>
          <w:i/>
          <w:sz w:val="22"/>
          <w:szCs w:val="22"/>
        </w:rPr>
      </w:pPr>
      <w:r w:rsidRPr="0089358F">
        <w:rPr>
          <w:rFonts w:ascii="Palatino Linotype" w:hAnsi="Palatino Linotype"/>
          <w:i/>
          <w:sz w:val="22"/>
          <w:szCs w:val="22"/>
        </w:rPr>
        <w:t>(…)</w:t>
      </w:r>
    </w:p>
    <w:p w:rsidR="000F1177" w:rsidRPr="009A1842" w:rsidRDefault="000F1177" w:rsidP="000F1177">
      <w:pPr>
        <w:pStyle w:val="Prrafodelista"/>
        <w:spacing w:before="240" w:after="240" w:line="360" w:lineRule="auto"/>
        <w:ind w:left="0" w:right="49"/>
        <w:jc w:val="both"/>
        <w:rPr>
          <w:rFonts w:ascii="Palatino Linotype" w:hAnsi="Palatino Linotype" w:cs="Arial"/>
          <w:szCs w:val="23"/>
        </w:rPr>
      </w:pPr>
    </w:p>
    <w:p w:rsidR="000F1177" w:rsidRPr="00B862E2" w:rsidRDefault="000F1177" w:rsidP="003E2C8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B862E2">
        <w:rPr>
          <w:rFonts w:ascii="Palatino Linotype" w:hAnsi="Palatino Linotype" w:cs="Arial"/>
        </w:rPr>
        <w:lastRenderedPageBreak/>
        <w:t xml:space="preserve">En otras palabras, </w:t>
      </w:r>
      <w:r w:rsidR="00B862E2">
        <w:rPr>
          <w:rFonts w:ascii="Palatino Linotype" w:eastAsia="Times New Roman" w:hAnsi="Palatino Linotype" w:cs="Arial"/>
          <w:color w:val="000000" w:themeColor="text1"/>
        </w:rPr>
        <w:t>se</w:t>
      </w:r>
      <w:r w:rsidRPr="00B862E2">
        <w:rPr>
          <w:rFonts w:ascii="Palatino Linotype" w:eastAsia="Times New Roman" w:hAnsi="Palatino Linotype" w:cs="Arial"/>
          <w:b/>
          <w:color w:val="000000" w:themeColor="text1"/>
        </w:rPr>
        <w:t xml:space="preserve"> </w:t>
      </w:r>
      <w:r w:rsidRPr="00B862E2">
        <w:rPr>
          <w:rFonts w:ascii="Palatino Linotype" w:eastAsia="Times New Roman" w:hAnsi="Palatino Linotype" w:cs="Arial"/>
          <w:color w:val="000000" w:themeColor="text1"/>
        </w:rPr>
        <w:t xml:space="preserve">está incumpliendo con la normatividad vigente toda vez que, </w:t>
      </w:r>
      <w:r w:rsidRPr="00B862E2">
        <w:rPr>
          <w:rFonts w:ascii="Palatino Linotype" w:eastAsia="Calibri" w:hAnsi="Palatino Linotype" w:cs="Arial"/>
          <w:color w:val="000000" w:themeColor="text1"/>
          <w:lang w:val="es-ES"/>
        </w:rPr>
        <w:t xml:space="preserve">el artículo 53 de la </w:t>
      </w:r>
      <w:r w:rsidRPr="00B862E2">
        <w:rPr>
          <w:rFonts w:ascii="Palatino Linotype" w:hAnsi="Palatino Linotype"/>
          <w:b/>
          <w:color w:val="000000" w:themeColor="text1"/>
        </w:rPr>
        <w:t xml:space="preserve">Ley de Transparencia y Acceso a la Información Pública del Estado de México y Municipios </w:t>
      </w:r>
      <w:r w:rsidRPr="00B862E2">
        <w:rPr>
          <w:rFonts w:ascii="Palatino Linotype" w:hAnsi="Palatino Linotype"/>
          <w:color w:val="000000" w:themeColor="text1"/>
        </w:rPr>
        <w:t xml:space="preserve">señala esencialmente que las Unidades de Transparencia deberán garantizar el Derecho de Acceso a la Información mediante un procedimiento interno </w:t>
      </w:r>
      <w:r w:rsidRPr="00B862E2">
        <w:rPr>
          <w:rFonts w:ascii="Palatino Linotype" w:hAnsi="Palatino Linotype"/>
        </w:rPr>
        <w:t>que asegure la mayor eficiencia en la gestión de las solicitudes de acceso a la información</w:t>
      </w:r>
      <w:r w:rsidRPr="00B862E2">
        <w:rPr>
          <w:rFonts w:ascii="Palatino Linotype" w:hAnsi="Palatino Linotype"/>
          <w:color w:val="000000" w:themeColor="text1"/>
        </w:rPr>
        <w:t xml:space="preserve"> como lo es </w:t>
      </w:r>
      <w:r w:rsidRPr="00B862E2">
        <w:rPr>
          <w:rFonts w:ascii="Palatino Linotype" w:hAnsi="Palatino Linotype"/>
        </w:rPr>
        <w:t xml:space="preserve">recibir, </w:t>
      </w:r>
      <w:r w:rsidRPr="00B862E2">
        <w:rPr>
          <w:rFonts w:ascii="Palatino Linotype" w:hAnsi="Palatino Linotype"/>
          <w:b/>
          <w:u w:val="single"/>
        </w:rPr>
        <w:t xml:space="preserve">tramitar </w:t>
      </w:r>
      <w:r w:rsidRPr="00B862E2">
        <w:rPr>
          <w:rFonts w:ascii="Palatino Linotype" w:hAnsi="Palatino Linotype"/>
        </w:rPr>
        <w:t>y dar respuesta a las solicitudes de acceso a la información</w:t>
      </w:r>
      <w:r w:rsidR="00B862E2">
        <w:rPr>
          <w:rFonts w:ascii="Palatino Linotype" w:hAnsi="Palatino Linotype"/>
          <w:color w:val="000000" w:themeColor="text1"/>
        </w:rPr>
        <w:t>.</w:t>
      </w:r>
    </w:p>
    <w:p w:rsidR="00B862E2" w:rsidRPr="00B862E2" w:rsidRDefault="00B862E2" w:rsidP="00B862E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jc w:val="both"/>
        <w:rPr>
          <w:rFonts w:ascii="Palatino Linotype" w:hAnsi="Palatino Linotype" w:cs="Arial"/>
        </w:rPr>
      </w:pPr>
    </w:p>
    <w:p w:rsidR="000F1177" w:rsidRPr="000A3CBD" w:rsidRDefault="000F1177" w:rsidP="00C37FD4">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0A3CBD">
        <w:rPr>
          <w:rFonts w:ascii="Palatino Linotype" w:hAnsi="Palatino Linotype" w:cs="Arial"/>
        </w:rPr>
        <w:t xml:space="preserve">Robustece lo anteriormente expuesto el artículo 162 de la </w:t>
      </w:r>
      <w:r w:rsidRPr="000A3CBD">
        <w:rPr>
          <w:rFonts w:ascii="Palatino Linotype" w:hAnsi="Palatino Linotype"/>
          <w:b/>
          <w:color w:val="000000" w:themeColor="text1"/>
        </w:rPr>
        <w:t xml:space="preserve">Ley de Transparencia y Acceso a la Información Pública del Estado de México y Municipios, </w:t>
      </w:r>
      <w:r w:rsidRPr="000A3CBD">
        <w:rPr>
          <w:rFonts w:ascii="Palatino Linotype" w:hAnsi="Palatino Linotype"/>
          <w:color w:val="000000" w:themeColor="text1"/>
        </w:rPr>
        <w:t>que a la letra dispone:</w:t>
      </w:r>
    </w:p>
    <w:p w:rsidR="000F1177" w:rsidRPr="00AF6590" w:rsidRDefault="000F1177" w:rsidP="000F1177">
      <w:pPr>
        <w:pStyle w:val="Prrafodelista"/>
        <w:spacing w:before="240" w:after="240" w:line="360" w:lineRule="auto"/>
        <w:ind w:left="0" w:right="49"/>
        <w:jc w:val="both"/>
        <w:rPr>
          <w:rFonts w:ascii="Palatino Linotype" w:hAnsi="Palatino Linotype" w:cs="Arial"/>
        </w:rPr>
      </w:pPr>
    </w:p>
    <w:p w:rsidR="000F1177" w:rsidRDefault="000F1177" w:rsidP="000F1177">
      <w:pPr>
        <w:pStyle w:val="Prrafodelista"/>
        <w:spacing w:before="240" w:after="240" w:line="360" w:lineRule="auto"/>
        <w:ind w:left="567" w:right="616"/>
        <w:jc w:val="both"/>
        <w:rPr>
          <w:rFonts w:ascii="Palatino Linotype" w:hAnsi="Palatino Linotype"/>
          <w:i/>
          <w:sz w:val="22"/>
          <w:szCs w:val="22"/>
        </w:rPr>
      </w:pPr>
      <w:r w:rsidRPr="00AF6590">
        <w:rPr>
          <w:rFonts w:ascii="Palatino Linotype" w:hAnsi="Palatino Linotype"/>
          <w:b/>
          <w:i/>
          <w:sz w:val="22"/>
          <w:szCs w:val="22"/>
        </w:rPr>
        <w:t>Artículo 162.</w:t>
      </w:r>
      <w:r w:rsidRPr="00AF6590">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F1177" w:rsidRDefault="000F1177" w:rsidP="000F1177">
      <w:pPr>
        <w:pStyle w:val="Prrafodelista"/>
        <w:spacing w:before="240" w:after="240" w:line="360" w:lineRule="auto"/>
        <w:ind w:left="0" w:right="49"/>
        <w:jc w:val="both"/>
        <w:rPr>
          <w:rFonts w:ascii="Palatino Linotype" w:hAnsi="Palatino Linotype" w:cs="Arial"/>
        </w:rPr>
      </w:pPr>
    </w:p>
    <w:p w:rsidR="000F1177" w:rsidRDefault="000F1177" w:rsidP="00C37FD4">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0A3CBD">
        <w:rPr>
          <w:rFonts w:ascii="Palatino Linotype" w:hAnsi="Palatino Linotype" w:cs="Arial"/>
        </w:rPr>
        <w:t xml:space="preserve">De ésta manera el </w:t>
      </w:r>
      <w:r w:rsidRPr="000A3CBD">
        <w:rPr>
          <w:rFonts w:ascii="Palatino Linotype" w:hAnsi="Palatino Linotype" w:cs="Arial"/>
          <w:b/>
        </w:rPr>
        <w:t xml:space="preserve">SUJETO OBLIGADO, </w:t>
      </w:r>
      <w:r w:rsidRPr="000A3CBD">
        <w:rPr>
          <w:rFonts w:ascii="Palatino Linotype" w:hAnsi="Palatino Linotype" w:cs="Arial"/>
        </w:rPr>
        <w:t xml:space="preserve">a través de su Unidad de Transparencia, debió requerir a todas y cada una de las áreas competentes así como a los </w:t>
      </w:r>
      <w:r w:rsidRPr="000A3CBD">
        <w:rPr>
          <w:rFonts w:ascii="Palatino Linotype" w:hAnsi="Palatino Linotype" w:cs="Arial"/>
          <w:b/>
          <w:u w:val="single"/>
        </w:rPr>
        <w:t>servidores públicos habilitados</w:t>
      </w:r>
      <w:r w:rsidRPr="000A3CBD">
        <w:rPr>
          <w:rFonts w:ascii="Palatino Linotype" w:hAnsi="Palatino Linotype" w:cs="Arial"/>
        </w:rPr>
        <w:t xml:space="preserve"> en donde pudiera obrar la información solicitada.</w:t>
      </w:r>
    </w:p>
    <w:p w:rsidR="000F1177" w:rsidRDefault="000F1177" w:rsidP="000F1177">
      <w:pPr>
        <w:pStyle w:val="Prrafodelista"/>
        <w:spacing w:before="240" w:after="240" w:line="360" w:lineRule="auto"/>
        <w:ind w:left="0" w:right="49"/>
        <w:jc w:val="both"/>
        <w:rPr>
          <w:rFonts w:ascii="Palatino Linotype" w:hAnsi="Palatino Linotype" w:cs="Arial"/>
        </w:rPr>
      </w:pPr>
    </w:p>
    <w:p w:rsidR="000F1177" w:rsidRPr="0024524B" w:rsidRDefault="000F1177" w:rsidP="00B862E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0A3CBD">
        <w:rPr>
          <w:rFonts w:ascii="Palatino Linotype" w:hAnsi="Palatino Linotype" w:cs="Arial"/>
        </w:rPr>
        <w:lastRenderedPageBreak/>
        <w:t>Entendiéndose como Servidor Público Habilitado a</w:t>
      </w:r>
      <w:r w:rsidRPr="005F4586">
        <w:t xml:space="preserve"> la “</w:t>
      </w:r>
      <w:r w:rsidRPr="000A3CBD">
        <w:rPr>
          <w:rFonts w:ascii="Palatino Linotype" w:hAnsi="Palatino Linotype"/>
          <w:i/>
        </w:rPr>
        <w:t xml:space="preserve">Persona encargada dentro de las diversas unidades administrativas o áreas del sujeto obligado, de </w:t>
      </w:r>
      <w:r w:rsidRPr="000A3CBD">
        <w:rPr>
          <w:rFonts w:ascii="Palatino Linotype" w:hAnsi="Palatino Linotype"/>
          <w:b/>
          <w:i/>
          <w:u w:val="single"/>
        </w:rPr>
        <w:t xml:space="preserve">apoyar, gestionar y entregar la información </w:t>
      </w:r>
      <w:r w:rsidRPr="000A3CBD">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5F4586">
        <w:t>”</w:t>
      </w:r>
      <w:r>
        <w:t xml:space="preserve"> </w:t>
      </w:r>
      <w:r w:rsidRPr="000A3CBD">
        <w:rPr>
          <w:rFonts w:ascii="Palatino Linotype" w:hAnsi="Palatino Linotype"/>
        </w:rPr>
        <w:t>de conformidad con  el artículo 3 fracción XXXIX de la</w:t>
      </w:r>
      <w:r w:rsidRPr="000A3CBD">
        <w:rPr>
          <w:rFonts w:ascii="Palatino Linotype" w:hAnsi="Palatino Linotype"/>
          <w:i/>
        </w:rPr>
        <w:t xml:space="preserve"> </w:t>
      </w:r>
      <w:r w:rsidRPr="000A3CBD">
        <w:rPr>
          <w:rFonts w:ascii="Palatino Linotype" w:hAnsi="Palatino Linotype"/>
          <w:b/>
          <w:color w:val="000000" w:themeColor="text1"/>
        </w:rPr>
        <w:t>Ley de Transparencia y Acceso a la Información Pública del Estado de México y Municipios.</w:t>
      </w:r>
    </w:p>
    <w:p w:rsidR="000F1177" w:rsidRPr="0024524B" w:rsidRDefault="000F1177" w:rsidP="000F1177">
      <w:pPr>
        <w:pStyle w:val="Prrafodelista"/>
        <w:spacing w:before="240" w:after="240" w:line="360" w:lineRule="auto"/>
        <w:ind w:left="0" w:right="49"/>
        <w:jc w:val="both"/>
        <w:rPr>
          <w:rFonts w:ascii="Palatino Linotype" w:hAnsi="Palatino Linotype" w:cs="Arial"/>
        </w:rPr>
      </w:pPr>
    </w:p>
    <w:p w:rsidR="000F1177" w:rsidRPr="0024524B" w:rsidRDefault="000F1177" w:rsidP="00B862E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lang w:eastAsia="es-MX"/>
        </w:rPr>
      </w:pPr>
      <w:r>
        <w:rPr>
          <w:rFonts w:ascii="Palatino Linotype" w:hAnsi="Palatino Linotype"/>
          <w:lang w:eastAsia="es-MX"/>
        </w:rPr>
        <w:t xml:space="preserve">Por ello al no requerirse a todas las áreas competentes lo que está haciendo el </w:t>
      </w:r>
      <w:r w:rsidRPr="00106A83">
        <w:rPr>
          <w:rFonts w:ascii="Palatino Linotype" w:hAnsi="Palatino Linotype"/>
          <w:lang w:eastAsia="es-MX"/>
        </w:rPr>
        <w:t>SUJETO OBLIGADO</w:t>
      </w:r>
      <w:r>
        <w:rPr>
          <w:rFonts w:ascii="Palatino Linotype" w:hAnsi="Palatino Linotype"/>
          <w:lang w:eastAsia="es-MX"/>
        </w:rPr>
        <w:t xml:space="preserve"> es actuar de manera deficiente, </w:t>
      </w:r>
      <w:r w:rsidR="00106A83">
        <w:rPr>
          <w:rFonts w:ascii="Palatino Linotype" w:hAnsi="Palatino Linotype"/>
          <w:lang w:eastAsia="es-MX"/>
        </w:rPr>
        <w:t xml:space="preserve">y la ponencia </w:t>
      </w:r>
      <w:proofErr w:type="spellStart"/>
      <w:r w:rsidR="00106A83">
        <w:rPr>
          <w:rFonts w:ascii="Palatino Linotype" w:hAnsi="Palatino Linotype"/>
          <w:lang w:eastAsia="es-MX"/>
        </w:rPr>
        <w:t>resolutora</w:t>
      </w:r>
      <w:proofErr w:type="spellEnd"/>
      <w:r w:rsidR="00106A83">
        <w:rPr>
          <w:rFonts w:ascii="Palatino Linotype" w:hAnsi="Palatino Linotype"/>
          <w:lang w:eastAsia="es-MX"/>
        </w:rPr>
        <w:t xml:space="preserve"> está confirmando dicha respuesta como válida, </w:t>
      </w:r>
      <w:r>
        <w:rPr>
          <w:rFonts w:ascii="Palatino Linotype" w:hAnsi="Palatino Linotype"/>
          <w:lang w:eastAsia="es-MX"/>
        </w:rPr>
        <w:t>por lo que es menester reiterar que e</w:t>
      </w:r>
      <w:r w:rsidRPr="0024524B">
        <w:rPr>
          <w:rFonts w:ascii="Palatino Linotype" w:hAnsi="Palatino Linotype"/>
          <w:lang w:eastAsia="es-MX"/>
        </w:rPr>
        <w:t xml:space="preserve">s obligación de todas las autoridades, promover, respetar y garantizar los derechos humanos, entre ellos el de acceso a la información pública, por lo que las respuestas imprecisas o incompletas generan una afectación inicial susceptible de ser reparada </w:t>
      </w:r>
      <w:r w:rsidR="00B862E2">
        <w:rPr>
          <w:rFonts w:ascii="Palatino Linotype" w:hAnsi="Palatino Linotype"/>
          <w:lang w:eastAsia="es-MX"/>
        </w:rPr>
        <w:t>mediante el recurso de revisión, situación que en la resolución indicada al rubro no ocurrió.</w:t>
      </w:r>
    </w:p>
    <w:p w:rsidR="000F1177" w:rsidRPr="00B862E2" w:rsidRDefault="000F1177" w:rsidP="00B862E2">
      <w:pPr>
        <w:pStyle w:val="Sinespaciado"/>
        <w:spacing w:line="360" w:lineRule="auto"/>
        <w:ind w:right="49"/>
        <w:jc w:val="both"/>
        <w:rPr>
          <w:rFonts w:ascii="Palatino Linotype" w:hAnsi="Palatino Linotype" w:cs="Arial"/>
          <w:sz w:val="24"/>
          <w:szCs w:val="20"/>
        </w:rPr>
      </w:pPr>
    </w:p>
    <w:p w:rsidR="001E6661" w:rsidRPr="00106A83" w:rsidRDefault="00427F2C" w:rsidP="004912A7">
      <w:pPr>
        <w:pStyle w:val="Sinespaciado"/>
        <w:numPr>
          <w:ilvl w:val="0"/>
          <w:numId w:val="1"/>
        </w:numPr>
        <w:spacing w:line="360" w:lineRule="auto"/>
        <w:ind w:left="0" w:right="49" w:firstLine="0"/>
        <w:jc w:val="both"/>
        <w:rPr>
          <w:rFonts w:ascii="Palatino Linotype" w:hAnsi="Palatino Linotype" w:cs="Arial"/>
          <w:sz w:val="24"/>
          <w:szCs w:val="20"/>
        </w:rPr>
      </w:pPr>
      <w:r w:rsidRPr="00B862E2">
        <w:rPr>
          <w:rFonts w:ascii="Palatino Linotype" w:hAnsi="Palatino Linotype" w:cs="Arial"/>
          <w:sz w:val="24"/>
          <w:szCs w:val="24"/>
        </w:rPr>
        <w:t xml:space="preserve">Dicho de otra manera, no se puede </w:t>
      </w:r>
      <w:r w:rsidR="00734536" w:rsidRPr="00B862E2">
        <w:rPr>
          <w:rFonts w:ascii="Palatino Linotype" w:hAnsi="Palatino Linotype" w:cs="Arial"/>
          <w:sz w:val="24"/>
          <w:szCs w:val="24"/>
        </w:rPr>
        <w:t xml:space="preserve">confirmar una respuesta que a todas luces está negando la entrega de la información, máxime el SUJETO OBLIGADO manifestó expresamente que </w:t>
      </w:r>
      <w:r w:rsidR="00B862E2" w:rsidRPr="00B862E2">
        <w:rPr>
          <w:rFonts w:ascii="Palatino Linotype" w:hAnsi="Palatino Linotype" w:cs="Arial"/>
          <w:sz w:val="24"/>
          <w:szCs w:val="24"/>
        </w:rPr>
        <w:t>tras una búsqueda exhaustiva y razonable no encontró la información solicitada sin realizar los requerimientos necesarios a las áreas competentes</w:t>
      </w:r>
      <w:r w:rsidRPr="00B862E2">
        <w:rPr>
          <w:rFonts w:ascii="Palatino Linotype" w:hAnsi="Palatino Linotype" w:cs="Arial"/>
          <w:sz w:val="24"/>
          <w:szCs w:val="24"/>
        </w:rPr>
        <w:t xml:space="preserve">, </w:t>
      </w:r>
      <w:r w:rsidRPr="00B862E2">
        <w:rPr>
          <w:rFonts w:ascii="Palatino Linotype" w:hAnsi="Palatino Linotype" w:cs="Arial"/>
          <w:color w:val="000000" w:themeColor="text1"/>
          <w:sz w:val="24"/>
          <w:szCs w:val="24"/>
          <w:lang w:val="es-ES"/>
        </w:rPr>
        <w:t xml:space="preserve">afectando el derecho de acceso a la información pública del particular, </w:t>
      </w:r>
      <w:r w:rsidRPr="00B862E2">
        <w:rPr>
          <w:rFonts w:ascii="Palatino Linotype" w:hAnsi="Palatino Linotype" w:cs="Arial"/>
          <w:color w:val="000000" w:themeColor="text1"/>
          <w:sz w:val="24"/>
          <w:szCs w:val="24"/>
          <w:lang w:val="es-ES"/>
        </w:rPr>
        <w:lastRenderedPageBreak/>
        <w:t xml:space="preserve">ya que con eso no se podría </w:t>
      </w:r>
      <w:r w:rsidR="00734536" w:rsidRPr="00B862E2">
        <w:rPr>
          <w:rFonts w:ascii="Palatino Linotype" w:hAnsi="Palatino Linotype" w:cs="Arial"/>
          <w:color w:val="000000" w:themeColor="text1"/>
          <w:sz w:val="24"/>
          <w:szCs w:val="24"/>
          <w:lang w:val="es-ES"/>
        </w:rPr>
        <w:t xml:space="preserve">otorgar seguridad </w:t>
      </w:r>
      <w:r w:rsidR="00B862E2">
        <w:rPr>
          <w:rFonts w:ascii="Palatino Linotype" w:hAnsi="Palatino Linotype" w:cs="Arial"/>
          <w:color w:val="000000" w:themeColor="text1"/>
          <w:sz w:val="24"/>
          <w:szCs w:val="24"/>
          <w:lang w:val="es-ES"/>
        </w:rPr>
        <w:t>y certeza jurídica de que efectivamente se realizó.</w:t>
      </w:r>
    </w:p>
    <w:p w:rsidR="00106A83" w:rsidRPr="00106A83" w:rsidRDefault="00106A83" w:rsidP="00106A83">
      <w:pPr>
        <w:pStyle w:val="Sinespaciado"/>
        <w:spacing w:line="360" w:lineRule="auto"/>
        <w:ind w:right="49"/>
        <w:jc w:val="both"/>
        <w:rPr>
          <w:rFonts w:ascii="Palatino Linotype" w:hAnsi="Palatino Linotype" w:cs="Arial"/>
          <w:sz w:val="24"/>
          <w:szCs w:val="20"/>
        </w:rPr>
      </w:pPr>
    </w:p>
    <w:p w:rsidR="00106A83" w:rsidRPr="00106A83" w:rsidRDefault="00674DAE" w:rsidP="00106A83">
      <w:pPr>
        <w:pStyle w:val="Sinespaciado"/>
        <w:numPr>
          <w:ilvl w:val="0"/>
          <w:numId w:val="1"/>
        </w:numPr>
        <w:spacing w:line="360" w:lineRule="auto"/>
        <w:ind w:left="0" w:right="49" w:firstLine="0"/>
        <w:jc w:val="both"/>
        <w:rPr>
          <w:rFonts w:ascii="Palatino Linotype" w:hAnsi="Palatino Linotype" w:cs="Arial"/>
          <w:sz w:val="24"/>
          <w:szCs w:val="24"/>
        </w:rPr>
      </w:pPr>
      <w:r w:rsidRPr="00106A83">
        <w:rPr>
          <w:rFonts w:ascii="Palatino Linotype" w:hAnsi="Palatino Linotype" w:cs="Arial"/>
          <w:color w:val="000000" w:themeColor="text1"/>
          <w:sz w:val="24"/>
          <w:szCs w:val="24"/>
          <w:lang w:val="es-ES"/>
        </w:rPr>
        <w:t xml:space="preserve">En este sentido, el Comisionado Ponente en la resolución que fue aprobada por </w:t>
      </w:r>
      <w:r w:rsidR="000026FC" w:rsidRPr="00106A83">
        <w:rPr>
          <w:rFonts w:ascii="Palatino Linotype" w:hAnsi="Palatino Linotype" w:cs="Arial"/>
          <w:color w:val="000000" w:themeColor="text1"/>
          <w:sz w:val="24"/>
          <w:szCs w:val="24"/>
          <w:lang w:val="es-ES"/>
        </w:rPr>
        <w:t xml:space="preserve">la </w:t>
      </w:r>
      <w:r w:rsidRPr="00106A83">
        <w:rPr>
          <w:rFonts w:ascii="Palatino Linotype" w:hAnsi="Palatino Linotype" w:cs="Arial"/>
          <w:color w:val="000000" w:themeColor="text1"/>
          <w:sz w:val="24"/>
          <w:szCs w:val="24"/>
          <w:lang w:val="es-ES"/>
        </w:rPr>
        <w:t xml:space="preserve">mayoría, contempló </w:t>
      </w:r>
      <w:r w:rsidR="001D3A51" w:rsidRPr="00106A83">
        <w:rPr>
          <w:rFonts w:ascii="Palatino Linotype" w:hAnsi="Palatino Linotype" w:cs="Arial"/>
          <w:color w:val="000000" w:themeColor="text1"/>
          <w:sz w:val="24"/>
          <w:szCs w:val="24"/>
          <w:lang w:val="es-ES"/>
        </w:rPr>
        <w:t xml:space="preserve">confirmar la respuesta en virtud de </w:t>
      </w:r>
      <w:r w:rsidRPr="00106A83">
        <w:rPr>
          <w:rFonts w:ascii="Palatino Linotype" w:hAnsi="Palatino Linotype" w:cs="Arial"/>
          <w:color w:val="000000" w:themeColor="text1"/>
          <w:sz w:val="24"/>
          <w:szCs w:val="24"/>
          <w:lang w:val="es-ES"/>
        </w:rPr>
        <w:t>que</w:t>
      </w:r>
      <w:r w:rsidR="007D4FA9" w:rsidRPr="00106A83">
        <w:rPr>
          <w:rFonts w:ascii="Palatino Linotype" w:hAnsi="Palatino Linotype" w:cs="Arial"/>
          <w:color w:val="000000" w:themeColor="text1"/>
          <w:sz w:val="24"/>
          <w:szCs w:val="24"/>
          <w:lang w:val="es-ES"/>
        </w:rPr>
        <w:t xml:space="preserve"> </w:t>
      </w:r>
      <w:r w:rsidR="00106A83" w:rsidRPr="00106A83">
        <w:rPr>
          <w:rFonts w:ascii="Palatino Linotype" w:hAnsi="Palatino Linotype" w:cs="Arial"/>
          <w:color w:val="000000" w:themeColor="text1"/>
          <w:sz w:val="24"/>
          <w:szCs w:val="24"/>
          <w:lang w:val="es-ES"/>
        </w:rPr>
        <w:t xml:space="preserve">a su consideración </w:t>
      </w:r>
      <w:r w:rsidR="001D3A51" w:rsidRPr="00106A83">
        <w:rPr>
          <w:rFonts w:ascii="Palatino Linotype" w:hAnsi="Palatino Linotype" w:cs="Arial"/>
          <w:color w:val="000000" w:themeColor="text1"/>
          <w:sz w:val="24"/>
          <w:szCs w:val="24"/>
          <w:lang w:val="es-ES"/>
        </w:rPr>
        <w:t>“</w:t>
      </w:r>
      <w:r w:rsidR="00106A83" w:rsidRPr="00106A83">
        <w:rPr>
          <w:rFonts w:ascii="Palatino Linotype" w:eastAsia="Calibri" w:hAnsi="Palatino Linotype" w:cs="Tahoma"/>
          <w:b/>
          <w:bCs/>
          <w:sz w:val="24"/>
          <w:szCs w:val="24"/>
        </w:rPr>
        <w:t>la búsqueda de la información se llevó a cabo en el área que por sus atribuciones podría contar con los documentos requeridos por el Particular.</w:t>
      </w:r>
    </w:p>
    <w:p w:rsidR="001E6661" w:rsidRPr="00356490" w:rsidRDefault="001E6661" w:rsidP="00356490">
      <w:pPr>
        <w:pStyle w:val="Sinespaciado"/>
        <w:spacing w:line="360" w:lineRule="auto"/>
        <w:ind w:right="49"/>
        <w:jc w:val="both"/>
        <w:rPr>
          <w:rFonts w:ascii="Palatino Linotype" w:hAnsi="Palatino Linotype" w:cs="Arial"/>
          <w:sz w:val="24"/>
          <w:szCs w:val="20"/>
        </w:rPr>
      </w:pPr>
    </w:p>
    <w:p w:rsidR="00AC1768" w:rsidRDefault="001E6661" w:rsidP="00AC1768">
      <w:pPr>
        <w:pStyle w:val="Sinespaciado"/>
        <w:numPr>
          <w:ilvl w:val="0"/>
          <w:numId w:val="1"/>
        </w:numPr>
        <w:spacing w:line="360" w:lineRule="auto"/>
        <w:ind w:left="0" w:right="49" w:firstLine="0"/>
        <w:jc w:val="both"/>
        <w:rPr>
          <w:rFonts w:ascii="Palatino Linotype" w:hAnsi="Palatino Linotype" w:cs="Arial"/>
          <w:color w:val="000000" w:themeColor="text1"/>
          <w:sz w:val="24"/>
          <w:szCs w:val="24"/>
        </w:rPr>
      </w:pPr>
      <w:r w:rsidRPr="00356490">
        <w:rPr>
          <w:rFonts w:ascii="Palatino Linotype" w:hAnsi="Palatino Linotype" w:cs="Arial"/>
          <w:sz w:val="24"/>
          <w:szCs w:val="24"/>
        </w:rPr>
        <w:t xml:space="preserve">Por tal motivo no concuerdo con la postura adoptada en el sentido de la resolución del pleno, dado que </w:t>
      </w:r>
      <w:r w:rsidR="001D3A51" w:rsidRPr="00356490">
        <w:rPr>
          <w:rFonts w:ascii="Palatino Linotype" w:hAnsi="Palatino Linotype" w:cs="Arial"/>
          <w:sz w:val="24"/>
          <w:szCs w:val="24"/>
        </w:rPr>
        <w:t xml:space="preserve">el registro </w:t>
      </w:r>
      <w:r w:rsidR="00106A83">
        <w:rPr>
          <w:rFonts w:ascii="Palatino Linotype" w:hAnsi="Palatino Linotype" w:cs="Arial"/>
          <w:color w:val="000000" w:themeColor="text1"/>
          <w:sz w:val="24"/>
          <w:szCs w:val="24"/>
          <w:bdr w:val="none" w:sz="0" w:space="0" w:color="auto" w:frame="1"/>
          <w:lang w:val="es-ES"/>
        </w:rPr>
        <w:t>de requerimientos en la página correspondiente a la plataforma del Sistema de Acceso a la Información Mexiquense (SAIMEX), no fue suficiente para acreditar una búsqueda exhaustiva y razonable en todas las áreas en donde pudiera obrar la información</w:t>
      </w:r>
      <w:r w:rsidR="00AC1768">
        <w:rPr>
          <w:rFonts w:ascii="Palatino Linotype" w:hAnsi="Palatino Linotype" w:cs="Arial"/>
          <w:color w:val="000000" w:themeColor="text1"/>
          <w:sz w:val="24"/>
          <w:szCs w:val="24"/>
          <w:bdr w:val="none" w:sz="0" w:space="0" w:color="auto" w:frame="1"/>
          <w:lang w:val="es-ES"/>
        </w:rPr>
        <w:t>.</w:t>
      </w:r>
    </w:p>
    <w:p w:rsidR="00AC1768" w:rsidRPr="00AC1768" w:rsidRDefault="00AC1768" w:rsidP="00AC1768">
      <w:pPr>
        <w:pStyle w:val="Sinespaciado"/>
        <w:spacing w:line="360" w:lineRule="auto"/>
        <w:ind w:right="49"/>
        <w:jc w:val="both"/>
        <w:rPr>
          <w:rFonts w:ascii="Palatino Linotype" w:hAnsi="Palatino Linotype" w:cs="Arial"/>
          <w:color w:val="000000" w:themeColor="text1"/>
          <w:sz w:val="24"/>
          <w:szCs w:val="24"/>
        </w:rPr>
      </w:pPr>
    </w:p>
    <w:p w:rsidR="001E6661" w:rsidRPr="00106A83" w:rsidRDefault="00AC1768" w:rsidP="00356490">
      <w:pPr>
        <w:pStyle w:val="Sinespaciado"/>
        <w:numPr>
          <w:ilvl w:val="0"/>
          <w:numId w:val="1"/>
        </w:numPr>
        <w:spacing w:line="360" w:lineRule="auto"/>
        <w:ind w:left="0" w:right="49" w:firstLine="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bdr w:val="none" w:sz="0" w:space="0" w:color="auto" w:frame="1"/>
          <w:lang w:val="es-ES"/>
        </w:rPr>
        <w:t>A</w:t>
      </w:r>
      <w:r w:rsidR="00106A83">
        <w:rPr>
          <w:rFonts w:ascii="Palatino Linotype" w:hAnsi="Palatino Linotype" w:cs="Arial"/>
          <w:color w:val="000000" w:themeColor="text1"/>
          <w:sz w:val="24"/>
          <w:szCs w:val="24"/>
          <w:bdr w:val="none" w:sz="0" w:space="0" w:color="auto" w:frame="1"/>
          <w:lang w:val="es-ES"/>
        </w:rPr>
        <w:t xml:space="preserve">demás </w:t>
      </w:r>
      <w:r>
        <w:rPr>
          <w:rFonts w:ascii="Palatino Linotype" w:hAnsi="Palatino Linotype" w:cs="Arial"/>
          <w:color w:val="000000" w:themeColor="text1"/>
          <w:sz w:val="24"/>
          <w:szCs w:val="24"/>
          <w:bdr w:val="none" w:sz="0" w:space="0" w:color="auto" w:frame="1"/>
          <w:lang w:val="es-ES"/>
        </w:rPr>
        <w:t>el SUJETO OBLIGADO al publicar información en redes sociales y no así en su página oficial</w:t>
      </w:r>
      <w:r w:rsidR="00106A83">
        <w:rPr>
          <w:rFonts w:ascii="Palatino Linotype" w:hAnsi="Palatino Linotype" w:cs="Arial"/>
          <w:color w:val="000000" w:themeColor="text1"/>
          <w:sz w:val="24"/>
          <w:szCs w:val="24"/>
          <w:bdr w:val="none" w:sz="0" w:space="0" w:color="auto" w:frame="1"/>
          <w:lang w:val="es-ES"/>
        </w:rPr>
        <w:t xml:space="preserve"> no cumple </w:t>
      </w:r>
      <w:r w:rsidR="00106A83" w:rsidRPr="00106A83">
        <w:rPr>
          <w:rFonts w:ascii="Palatino Linotype" w:hAnsi="Palatino Linotype" w:cs="Arial"/>
          <w:color w:val="000000" w:themeColor="text1"/>
          <w:sz w:val="24"/>
          <w:szCs w:val="24"/>
          <w:bdr w:val="none" w:sz="0" w:space="0" w:color="auto" w:frame="1"/>
          <w:lang w:val="es-ES"/>
        </w:rPr>
        <w:t xml:space="preserve">con </w:t>
      </w:r>
      <w:r>
        <w:rPr>
          <w:rFonts w:ascii="Palatino Linotype" w:hAnsi="Palatino Linotype" w:cs="Arial"/>
          <w:color w:val="000000" w:themeColor="text1"/>
          <w:sz w:val="24"/>
          <w:szCs w:val="24"/>
          <w:bdr w:val="none" w:sz="0" w:space="0" w:color="auto" w:frame="1"/>
          <w:lang w:val="es-ES"/>
        </w:rPr>
        <w:t xml:space="preserve">el principio de accesibilidad porque no adopta </w:t>
      </w:r>
      <w:r w:rsidR="00106A83" w:rsidRPr="00106A83">
        <w:rPr>
          <w:rFonts w:ascii="Palatino Linotype" w:hAnsi="Palatino Linotype" w:cs="Arial"/>
          <w:color w:val="000000" w:themeColor="text1"/>
          <w:sz w:val="24"/>
          <w:szCs w:val="24"/>
          <w:bdr w:val="none" w:sz="0" w:space="0" w:color="auto" w:frame="1"/>
          <w:lang w:val="es-ES"/>
        </w:rPr>
        <w:t>las</w:t>
      </w:r>
      <w:r w:rsidR="00106A83" w:rsidRPr="00106A83">
        <w:rPr>
          <w:rFonts w:ascii="Palatino Linotype" w:hAnsi="Palatino Linotype" w:cs="Arial"/>
          <w:color w:val="000000" w:themeColor="text1"/>
          <w:sz w:val="24"/>
          <w:szCs w:val="24"/>
          <w:shd w:val="clear" w:color="auto" w:fill="FFFFFF"/>
        </w:rPr>
        <w:t xml:space="preserve"> medidas necesarias para asegurar que las personas en condiciones de</w:t>
      </w:r>
      <w:r w:rsidR="008B6526">
        <w:rPr>
          <w:rFonts w:ascii="Palatino Linotype" w:hAnsi="Palatino Linotype" w:cs="Arial"/>
          <w:color w:val="000000" w:themeColor="text1"/>
          <w:sz w:val="24"/>
          <w:szCs w:val="24"/>
          <w:shd w:val="clear" w:color="auto" w:fill="FFFFFF"/>
        </w:rPr>
        <w:t xml:space="preserve"> </w:t>
      </w:r>
      <w:r w:rsidR="00106A83" w:rsidRPr="00106A83">
        <w:rPr>
          <w:rFonts w:ascii="Palatino Linotype" w:hAnsi="Palatino Linotype" w:cs="Arial"/>
          <w:color w:val="000000" w:themeColor="text1"/>
          <w:sz w:val="24"/>
          <w:szCs w:val="24"/>
          <w:shd w:val="clear" w:color="auto" w:fill="FFFFFF"/>
        </w:rPr>
        <w:t>vulnerabilidad puedan ejercer en forma independiente, los derechos humanos de acceso a la</w:t>
      </w:r>
      <w:r w:rsidR="00106A83">
        <w:rPr>
          <w:rFonts w:ascii="Palatino Linotype" w:hAnsi="Palatino Linotype" w:cs="Arial"/>
          <w:color w:val="000000" w:themeColor="text1"/>
          <w:sz w:val="24"/>
          <w:szCs w:val="24"/>
          <w:shd w:val="clear" w:color="auto" w:fill="FFFFFF"/>
        </w:rPr>
        <w:t xml:space="preserve"> </w:t>
      </w:r>
      <w:r w:rsidR="00106A83" w:rsidRPr="00106A83">
        <w:rPr>
          <w:rFonts w:ascii="Palatino Linotype" w:hAnsi="Palatino Linotype" w:cs="Arial"/>
          <w:color w:val="000000" w:themeColor="text1"/>
          <w:sz w:val="24"/>
          <w:szCs w:val="24"/>
          <w:shd w:val="clear" w:color="auto" w:fill="FFFFFF"/>
        </w:rPr>
        <w:t>información y protección de datos personales en igualdad de condiciones con las demás, sin que</w:t>
      </w:r>
      <w:r w:rsidR="00106A83">
        <w:rPr>
          <w:rFonts w:ascii="Palatino Linotype" w:hAnsi="Palatino Linotype" w:cs="Arial"/>
          <w:color w:val="000000" w:themeColor="text1"/>
          <w:sz w:val="24"/>
          <w:szCs w:val="24"/>
          <w:shd w:val="clear" w:color="auto" w:fill="FFFFFF"/>
        </w:rPr>
        <w:t xml:space="preserve"> </w:t>
      </w:r>
      <w:r w:rsidR="00106A83" w:rsidRPr="00106A83">
        <w:rPr>
          <w:rFonts w:ascii="Palatino Linotype" w:hAnsi="Palatino Linotype" w:cs="Arial"/>
          <w:color w:val="000000" w:themeColor="text1"/>
          <w:sz w:val="24"/>
          <w:szCs w:val="24"/>
          <w:shd w:val="clear" w:color="auto" w:fill="FFFFFF"/>
        </w:rPr>
        <w:t xml:space="preserve">sea obstáculo para ello el entorno físico, </w:t>
      </w:r>
      <w:r w:rsidR="00106A83" w:rsidRPr="008B6526">
        <w:rPr>
          <w:rFonts w:ascii="Palatino Linotype" w:hAnsi="Palatino Linotype" w:cs="Arial"/>
          <w:b/>
          <w:color w:val="000000" w:themeColor="text1"/>
          <w:sz w:val="24"/>
          <w:szCs w:val="24"/>
          <w:u w:val="single"/>
          <w:shd w:val="clear" w:color="auto" w:fill="FFFFFF"/>
        </w:rPr>
        <w:t>la información, las comunicaciones, incluidos los sistemas y las tecnologías de la información,</w:t>
      </w:r>
      <w:r w:rsidR="00106A83" w:rsidRPr="00106A83">
        <w:rPr>
          <w:rFonts w:ascii="Palatino Linotype" w:hAnsi="Palatino Linotype" w:cs="Arial"/>
          <w:color w:val="000000" w:themeColor="text1"/>
          <w:sz w:val="24"/>
          <w:szCs w:val="24"/>
          <w:shd w:val="clear" w:color="auto" w:fill="FFFFFF"/>
        </w:rPr>
        <w:t xml:space="preserve"> así </w:t>
      </w:r>
      <w:r w:rsidR="00106A83" w:rsidRPr="00106A83">
        <w:rPr>
          <w:rFonts w:ascii="Palatino Linotype" w:hAnsi="Palatino Linotype" w:cs="Arial"/>
          <w:color w:val="000000" w:themeColor="text1"/>
          <w:sz w:val="24"/>
          <w:szCs w:val="24"/>
          <w:shd w:val="clear" w:color="auto" w:fill="FFFFFF"/>
        </w:rPr>
        <w:lastRenderedPageBreak/>
        <w:t>como las telecomunicaciones y otros servicios e</w:t>
      </w:r>
      <w:r w:rsidR="00106A83">
        <w:rPr>
          <w:rFonts w:ascii="Palatino Linotype" w:hAnsi="Palatino Linotype" w:cs="Arial"/>
          <w:color w:val="000000" w:themeColor="text1"/>
          <w:sz w:val="24"/>
          <w:szCs w:val="24"/>
          <w:shd w:val="clear" w:color="auto" w:fill="FFFFFF"/>
        </w:rPr>
        <w:t xml:space="preserve"> </w:t>
      </w:r>
      <w:r w:rsidR="00106A83" w:rsidRPr="00106A83">
        <w:rPr>
          <w:rFonts w:ascii="Palatino Linotype" w:hAnsi="Palatino Linotype" w:cs="Arial"/>
          <w:color w:val="000000" w:themeColor="text1"/>
          <w:sz w:val="24"/>
          <w:szCs w:val="24"/>
          <w:shd w:val="clear" w:color="auto" w:fill="FFFFFF"/>
        </w:rPr>
        <w:t>instalaciones abiertos al público o de uso general, tanto en zonas urbanas como rurales</w:t>
      </w:r>
      <w:r w:rsidR="008B6526">
        <w:rPr>
          <w:rFonts w:ascii="Palatino Linotype" w:hAnsi="Palatino Linotype" w:cs="Arial"/>
          <w:color w:val="000000" w:themeColor="text1"/>
          <w:sz w:val="24"/>
          <w:szCs w:val="24"/>
          <w:shd w:val="clear" w:color="auto" w:fill="FFFFFF"/>
        </w:rPr>
        <w:t>.</w:t>
      </w:r>
    </w:p>
    <w:p w:rsidR="00674DAE" w:rsidRPr="002B45C4" w:rsidRDefault="00674DAE" w:rsidP="00674DAE">
      <w:pPr>
        <w:contextualSpacing/>
        <w:rPr>
          <w:rFonts w:ascii="Palatino Linotype" w:hAnsi="Palatino Linotype" w:cs="Arial"/>
          <w:color w:val="000000" w:themeColor="text1"/>
          <w:lang w:val="es-ES"/>
        </w:rPr>
      </w:pPr>
    </w:p>
    <w:p w:rsidR="004131E3" w:rsidRPr="00674DAE" w:rsidRDefault="004131E3" w:rsidP="004131E3">
      <w:pPr>
        <w:keepNext/>
        <w:keepLines/>
        <w:spacing w:before="40"/>
        <w:outlineLvl w:val="1"/>
        <w:rPr>
          <w:rFonts w:ascii="Palatino Linotype" w:eastAsia="Times New Roman" w:hAnsi="Palatino Linotype" w:cstheme="majorBidi"/>
          <w:b/>
          <w:color w:val="000000" w:themeColor="text1"/>
          <w:lang w:eastAsia="es-MX"/>
        </w:rPr>
      </w:pPr>
      <w:bookmarkStart w:id="1" w:name="_Toc489895168"/>
      <w:bookmarkStart w:id="2" w:name="_Toc513483492"/>
      <w:r>
        <w:rPr>
          <w:rFonts w:ascii="Palatino Linotype" w:eastAsia="Times New Roman" w:hAnsi="Palatino Linotype" w:cstheme="majorBidi"/>
          <w:b/>
          <w:color w:val="000000" w:themeColor="text1"/>
          <w:lang w:eastAsia="es-MX"/>
        </w:rPr>
        <w:t xml:space="preserve">V. </w:t>
      </w:r>
      <w:r w:rsidR="00674DAE" w:rsidRPr="002B45C4">
        <w:rPr>
          <w:rFonts w:ascii="Palatino Linotype" w:eastAsia="Times New Roman" w:hAnsi="Palatino Linotype" w:cstheme="majorBidi"/>
          <w:b/>
          <w:color w:val="000000" w:themeColor="text1"/>
          <w:lang w:eastAsia="es-MX"/>
        </w:rPr>
        <w:t>Conclusión.</w:t>
      </w:r>
      <w:bookmarkEnd w:id="1"/>
      <w:bookmarkEnd w:id="2"/>
    </w:p>
    <w:p w:rsidR="004131E3" w:rsidRPr="004131E3" w:rsidRDefault="004131E3" w:rsidP="004131E3">
      <w:pPr>
        <w:spacing w:before="240" w:after="240" w:line="360" w:lineRule="auto"/>
        <w:ind w:right="49"/>
        <w:contextualSpacing/>
        <w:jc w:val="both"/>
        <w:rPr>
          <w:rFonts w:ascii="Palatino Linotype" w:eastAsia="Calibri" w:hAnsi="Palatino Linotype" w:cs="Arial"/>
          <w:u w:val="single"/>
          <w:lang w:val="es-ES"/>
        </w:rPr>
      </w:pPr>
    </w:p>
    <w:p w:rsidR="00674DAE" w:rsidRPr="004131E3" w:rsidRDefault="00674DAE" w:rsidP="008B6526">
      <w:pPr>
        <w:numPr>
          <w:ilvl w:val="0"/>
          <w:numId w:val="1"/>
        </w:numPr>
        <w:spacing w:before="240" w:after="240" w:line="360" w:lineRule="auto"/>
        <w:ind w:left="0" w:right="49" w:firstLine="0"/>
        <w:contextualSpacing/>
        <w:jc w:val="both"/>
        <w:rPr>
          <w:rFonts w:ascii="Palatino Linotype" w:eastAsia="Calibri" w:hAnsi="Palatino Linotype" w:cs="Arial"/>
          <w:u w:val="single"/>
          <w:lang w:val="es-ES"/>
        </w:rPr>
      </w:pPr>
      <w:r w:rsidRPr="002B45C4">
        <w:rPr>
          <w:rFonts w:ascii="Palatino Linotype" w:eastAsia="MS Mincho" w:hAnsi="Palatino Linotype"/>
        </w:rPr>
        <w:t>Bajo ese tenor concluyo que es deber de los Sujetos Obligado</w:t>
      </w:r>
      <w:r w:rsidR="008B6526">
        <w:rPr>
          <w:rFonts w:ascii="Palatino Linotype" w:eastAsia="MS Mincho" w:hAnsi="Palatino Linotype"/>
        </w:rPr>
        <w:t>s</w:t>
      </w:r>
      <w:r w:rsidRPr="002B45C4">
        <w:rPr>
          <w:rFonts w:ascii="Palatino Linotype" w:eastAsia="MS Mincho" w:hAnsi="Palatino Linotype"/>
        </w:rPr>
        <w:t xml:space="preserve"> agotar todas las medidas </w:t>
      </w:r>
      <w:r w:rsidR="008B6526">
        <w:rPr>
          <w:rFonts w:ascii="Palatino Linotype" w:eastAsia="MS Mincho" w:hAnsi="Palatino Linotype"/>
        </w:rPr>
        <w:t>necesarias</w:t>
      </w:r>
      <w:r w:rsidRPr="002B45C4">
        <w:rPr>
          <w:rFonts w:ascii="Palatino Linotype" w:eastAsia="MS Mincho" w:hAnsi="Palatino Linotype"/>
        </w:rPr>
        <w:t>, a fin de dar certeza de los actos que se están realizando, sin vulnerar el derecho al acceso de la información de los particulares.</w:t>
      </w:r>
    </w:p>
    <w:p w:rsidR="004131E3" w:rsidRDefault="004131E3" w:rsidP="008B6526">
      <w:pPr>
        <w:spacing w:before="240" w:after="240" w:line="360" w:lineRule="auto"/>
        <w:ind w:right="49"/>
        <w:contextualSpacing/>
        <w:jc w:val="both"/>
        <w:rPr>
          <w:rFonts w:ascii="Palatino Linotype" w:eastAsia="MS Mincho" w:hAnsi="Palatino Linotype"/>
        </w:rPr>
      </w:pPr>
    </w:p>
    <w:p w:rsidR="004131E3" w:rsidRDefault="004131E3" w:rsidP="004131E3">
      <w:pPr>
        <w:spacing w:before="240" w:after="240" w:line="360" w:lineRule="auto"/>
        <w:ind w:right="49"/>
        <w:contextualSpacing/>
        <w:jc w:val="both"/>
        <w:rPr>
          <w:rFonts w:ascii="Palatino Linotype" w:eastAsia="MS Mincho" w:hAnsi="Palatino Linotype"/>
        </w:rPr>
      </w:pPr>
    </w:p>
    <w:p w:rsidR="004131E3" w:rsidRPr="002B45C4" w:rsidRDefault="004131E3" w:rsidP="004131E3">
      <w:pPr>
        <w:spacing w:before="240" w:after="240" w:line="360" w:lineRule="auto"/>
        <w:ind w:right="49"/>
        <w:contextualSpacing/>
        <w:jc w:val="both"/>
        <w:rPr>
          <w:rFonts w:ascii="Palatino Linotype" w:eastAsia="Calibri" w:hAnsi="Palatino Linotype" w:cs="Arial"/>
          <w:u w:val="single"/>
          <w:lang w:val="es-ES"/>
        </w:rPr>
      </w:pPr>
    </w:p>
    <w:p w:rsidR="00674DAE" w:rsidRPr="002B45C4" w:rsidRDefault="00674DAE" w:rsidP="00674DAE">
      <w:pPr>
        <w:spacing w:before="240" w:after="240" w:line="360" w:lineRule="auto"/>
        <w:ind w:right="49"/>
        <w:contextualSpacing/>
        <w:jc w:val="both"/>
        <w:rPr>
          <w:rFonts w:ascii="Palatino Linotype" w:eastAsia="Calibri" w:hAnsi="Palatino Linotype" w:cs="Arial"/>
          <w:u w:val="single"/>
          <w:lang w:val="es-ES"/>
        </w:rPr>
      </w:pPr>
    </w:p>
    <w:p w:rsidR="00674DAE" w:rsidRPr="002B45C4" w:rsidRDefault="00674DAE" w:rsidP="00674DAE">
      <w:pPr>
        <w:spacing w:line="360" w:lineRule="auto"/>
        <w:jc w:val="center"/>
        <w:rPr>
          <w:rFonts w:ascii="Palatino Linotype" w:eastAsia="Calibri" w:hAnsi="Palatino Linotype" w:cs="Arial"/>
          <w:b/>
          <w:color w:val="000000" w:themeColor="text1"/>
        </w:rPr>
      </w:pPr>
      <w:r w:rsidRPr="002B45C4">
        <w:rPr>
          <w:rFonts w:ascii="Palatino Linotype" w:eastAsia="Calibri" w:hAnsi="Palatino Linotype" w:cs="Arial"/>
          <w:b/>
          <w:color w:val="000000" w:themeColor="text1"/>
        </w:rPr>
        <w:t>JOSÉ GUADALUPE LUNA HERNÁNDEZ</w:t>
      </w:r>
    </w:p>
    <w:p w:rsidR="00674DAE" w:rsidRPr="002B45C4" w:rsidRDefault="00674DAE" w:rsidP="00674DAE">
      <w:pPr>
        <w:spacing w:line="360" w:lineRule="auto"/>
        <w:jc w:val="center"/>
        <w:rPr>
          <w:rFonts w:ascii="Palatino Linotype" w:eastAsia="Calibri" w:hAnsi="Palatino Linotype" w:cs="Arial"/>
          <w:b/>
          <w:color w:val="000000" w:themeColor="text1"/>
        </w:rPr>
      </w:pPr>
      <w:r w:rsidRPr="002B45C4">
        <w:rPr>
          <w:rFonts w:ascii="Palatino Linotype" w:eastAsia="Calibri" w:hAnsi="Palatino Linotype" w:cs="Arial"/>
          <w:b/>
          <w:color w:val="000000" w:themeColor="text1"/>
        </w:rPr>
        <w:t xml:space="preserve">COMISIONADO </w:t>
      </w:r>
    </w:p>
    <w:p w:rsidR="00674DAE" w:rsidRDefault="00674DAE" w:rsidP="00674DAE">
      <w:pPr>
        <w:spacing w:line="360" w:lineRule="auto"/>
        <w:jc w:val="center"/>
        <w:rPr>
          <w:rFonts w:ascii="Palatino Linotype" w:eastAsia="Calibri" w:hAnsi="Palatino Linotype" w:cs="Arial"/>
          <w:b/>
          <w:color w:val="000000" w:themeColor="text1"/>
        </w:rPr>
      </w:pPr>
      <w:r w:rsidRPr="002B45C4">
        <w:rPr>
          <w:rFonts w:ascii="Palatino Linotype" w:eastAsia="Calibri" w:hAnsi="Palatino Linotype" w:cs="Arial"/>
          <w:b/>
          <w:color w:val="000000" w:themeColor="text1"/>
        </w:rPr>
        <w:t>(Rúbrica)</w:t>
      </w:r>
    </w:p>
    <w:p w:rsidR="005251C4" w:rsidRPr="005251C4" w:rsidRDefault="005251C4" w:rsidP="005251C4">
      <w:pPr>
        <w:spacing w:line="360" w:lineRule="auto"/>
        <w:rPr>
          <w:rFonts w:ascii="Palatino Linotype" w:eastAsia="Calibri" w:hAnsi="Palatino Linotype" w:cs="Arial"/>
          <w:b/>
          <w:color w:val="000000" w:themeColor="text1"/>
          <w:sz w:val="16"/>
          <w:szCs w:val="16"/>
        </w:rPr>
      </w:pPr>
    </w:p>
    <w:p w:rsidR="005251C4" w:rsidRPr="005251C4" w:rsidRDefault="005251C4" w:rsidP="005251C4">
      <w:pPr>
        <w:spacing w:line="360" w:lineRule="auto"/>
        <w:rPr>
          <w:rFonts w:ascii="Palatino Linotype" w:eastAsia="Calibri" w:hAnsi="Palatino Linotype" w:cs="Arial"/>
          <w:b/>
          <w:color w:val="000000" w:themeColor="text1"/>
          <w:sz w:val="16"/>
          <w:szCs w:val="16"/>
        </w:rPr>
      </w:pPr>
      <w:r w:rsidRPr="005251C4">
        <w:rPr>
          <w:rFonts w:ascii="Palatino Linotype" w:eastAsia="Calibri" w:hAnsi="Palatino Linotype" w:cs="Arial"/>
          <w:b/>
          <w:color w:val="000000" w:themeColor="text1"/>
          <w:sz w:val="16"/>
          <w:szCs w:val="16"/>
        </w:rPr>
        <w:t>JGLH/ECD</w:t>
      </w:r>
      <w:bookmarkStart w:id="3" w:name="_GoBack"/>
      <w:bookmarkEnd w:id="3"/>
    </w:p>
    <w:sectPr w:rsidR="005251C4" w:rsidRPr="005251C4" w:rsidSect="007631ED">
      <w:headerReference w:type="even" r:id="rId10"/>
      <w:headerReference w:type="default" r:id="rId11"/>
      <w:footerReference w:type="even" r:id="rId12"/>
      <w:footerReference w:type="default" r:id="rId13"/>
      <w:headerReference w:type="first" r:id="rId14"/>
      <w:footerReference w:type="first" r:id="rId15"/>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735" w:rsidRDefault="00BB4735" w:rsidP="00ED7332">
      <w:r>
        <w:separator/>
      </w:r>
    </w:p>
  </w:endnote>
  <w:endnote w:type="continuationSeparator" w:id="0">
    <w:p w:rsidR="00BB4735" w:rsidRDefault="00BB4735"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24" w:rsidRDefault="00074B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9A3E5D">
              <w:rPr>
                <w:rFonts w:ascii="Palatino Linotype" w:hAnsi="Palatino Linotype"/>
                <w:b/>
                <w:bCs/>
                <w:noProof/>
                <w:sz w:val="20"/>
                <w:szCs w:val="20"/>
              </w:rPr>
              <w:t>8</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9A3E5D">
              <w:rPr>
                <w:rFonts w:ascii="Palatino Linotype" w:hAnsi="Palatino Linotype"/>
                <w:b/>
                <w:bCs/>
                <w:noProof/>
                <w:sz w:val="20"/>
                <w:szCs w:val="20"/>
              </w:rPr>
              <w:t>8</w:t>
            </w:r>
            <w:r w:rsidRPr="0052203D">
              <w:rPr>
                <w:rFonts w:ascii="Palatino Linotype" w:hAnsi="Palatino Linotype"/>
                <w:b/>
                <w:bCs/>
                <w:sz w:val="20"/>
                <w:szCs w:val="20"/>
              </w:rPr>
              <w:fldChar w:fldCharType="end"/>
            </w:r>
          </w:p>
        </w:sdtContent>
      </w:sdt>
    </w:sdtContent>
  </w:sdt>
  <w:p w:rsidR="00951E8B" w:rsidRDefault="009A3E5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24" w:rsidRDefault="00074B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735" w:rsidRDefault="00BB4735" w:rsidP="00ED7332">
      <w:r>
        <w:separator/>
      </w:r>
    </w:p>
  </w:footnote>
  <w:footnote w:type="continuationSeparator" w:id="0">
    <w:p w:rsidR="00BB4735" w:rsidRDefault="00BB4735"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A3E5D">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A3E5D">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A3E5D">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906AC364"/>
    <w:lvl w:ilvl="0" w:tplc="61B24ADA">
      <w:start w:val="1"/>
      <w:numFmt w:val="upperRoman"/>
      <w:pStyle w:val="Ttulo1"/>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2">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3">
    <w:nsid w:val="0B266EA2"/>
    <w:multiLevelType w:val="hybridMultilevel"/>
    <w:tmpl w:val="97B0D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97625E"/>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7">
    <w:nsid w:val="1F3320B9"/>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8">
    <w:nsid w:val="210C7F07"/>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9">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5">
    <w:nsid w:val="3DC31D68"/>
    <w:multiLevelType w:val="hybridMultilevel"/>
    <w:tmpl w:val="192CEC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F107F6D"/>
    <w:multiLevelType w:val="hybridMultilevel"/>
    <w:tmpl w:val="490CC3B8"/>
    <w:lvl w:ilvl="0" w:tplc="E25A2FE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7">
    <w:nsid w:val="3F9B706A"/>
    <w:multiLevelType w:val="hybridMultilevel"/>
    <w:tmpl w:val="E34EA1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7AC5D89"/>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0">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7202FA"/>
    <w:multiLevelType w:val="hybridMultilevel"/>
    <w:tmpl w:val="042439FA"/>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5A1E06B4"/>
    <w:multiLevelType w:val="hybridMultilevel"/>
    <w:tmpl w:val="94AE68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1"/>
  </w:num>
  <w:num w:numId="3">
    <w:abstractNumId w:val="30"/>
  </w:num>
  <w:num w:numId="4">
    <w:abstractNumId w:val="9"/>
  </w:num>
  <w:num w:numId="5">
    <w:abstractNumId w:val="14"/>
  </w:num>
  <w:num w:numId="6">
    <w:abstractNumId w:val="2"/>
  </w:num>
  <w:num w:numId="7">
    <w:abstractNumId w:val="23"/>
  </w:num>
  <w:num w:numId="8">
    <w:abstractNumId w:val="32"/>
  </w:num>
  <w:num w:numId="9">
    <w:abstractNumId w:val="19"/>
  </w:num>
  <w:num w:numId="10">
    <w:abstractNumId w:val="1"/>
  </w:num>
  <w:num w:numId="11">
    <w:abstractNumId w:val="0"/>
  </w:num>
  <w:num w:numId="12">
    <w:abstractNumId w:val="22"/>
  </w:num>
  <w:num w:numId="13">
    <w:abstractNumId w:val="5"/>
  </w:num>
  <w:num w:numId="14">
    <w:abstractNumId w:val="28"/>
  </w:num>
  <w:num w:numId="15">
    <w:abstractNumId w:val="27"/>
  </w:num>
  <w:num w:numId="16">
    <w:abstractNumId w:val="21"/>
  </w:num>
  <w:num w:numId="17">
    <w:abstractNumId w:val="12"/>
  </w:num>
  <w:num w:numId="18">
    <w:abstractNumId w:val="10"/>
  </w:num>
  <w:num w:numId="19">
    <w:abstractNumId w:val="29"/>
  </w:num>
  <w:num w:numId="20">
    <w:abstractNumId w:val="18"/>
  </w:num>
  <w:num w:numId="21">
    <w:abstractNumId w:val="31"/>
  </w:num>
  <w:num w:numId="22">
    <w:abstractNumId w:val="13"/>
  </w:num>
  <w:num w:numId="23">
    <w:abstractNumId w:val="15"/>
  </w:num>
  <w:num w:numId="24">
    <w:abstractNumId w:val="25"/>
  </w:num>
  <w:num w:numId="25">
    <w:abstractNumId w:val="20"/>
  </w:num>
  <w:num w:numId="26">
    <w:abstractNumId w:val="4"/>
  </w:num>
  <w:num w:numId="27">
    <w:abstractNumId w:val="3"/>
  </w:num>
  <w:num w:numId="28">
    <w:abstractNumId w:val="6"/>
  </w:num>
  <w:num w:numId="29">
    <w:abstractNumId w:val="7"/>
  </w:num>
  <w:num w:numId="30">
    <w:abstractNumId w:val="8"/>
  </w:num>
  <w:num w:numId="31">
    <w:abstractNumId w:val="26"/>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26FC"/>
    <w:rsid w:val="00004141"/>
    <w:rsid w:val="000350F9"/>
    <w:rsid w:val="00045EDE"/>
    <w:rsid w:val="00074B24"/>
    <w:rsid w:val="0009296B"/>
    <w:rsid w:val="00097AD7"/>
    <w:rsid w:val="000B022A"/>
    <w:rsid w:val="000B0E25"/>
    <w:rsid w:val="000F1159"/>
    <w:rsid w:val="000F1177"/>
    <w:rsid w:val="000F2AC8"/>
    <w:rsid w:val="00103510"/>
    <w:rsid w:val="00104E96"/>
    <w:rsid w:val="00106A83"/>
    <w:rsid w:val="00115126"/>
    <w:rsid w:val="0015416E"/>
    <w:rsid w:val="0016141F"/>
    <w:rsid w:val="00161D60"/>
    <w:rsid w:val="00173575"/>
    <w:rsid w:val="001A2F06"/>
    <w:rsid w:val="001C6C91"/>
    <w:rsid w:val="001D3A51"/>
    <w:rsid w:val="001E2E42"/>
    <w:rsid w:val="001E6661"/>
    <w:rsid w:val="001F0577"/>
    <w:rsid w:val="00203272"/>
    <w:rsid w:val="00223E30"/>
    <w:rsid w:val="002252EC"/>
    <w:rsid w:val="00230BB9"/>
    <w:rsid w:val="002317BD"/>
    <w:rsid w:val="00253251"/>
    <w:rsid w:val="00255331"/>
    <w:rsid w:val="0026502D"/>
    <w:rsid w:val="00274977"/>
    <w:rsid w:val="002813E1"/>
    <w:rsid w:val="00290D96"/>
    <w:rsid w:val="002A3A54"/>
    <w:rsid w:val="002E3F55"/>
    <w:rsid w:val="002E4EAD"/>
    <w:rsid w:val="002E7E2E"/>
    <w:rsid w:val="002F0112"/>
    <w:rsid w:val="003061F2"/>
    <w:rsid w:val="00313DBF"/>
    <w:rsid w:val="0032670A"/>
    <w:rsid w:val="00356490"/>
    <w:rsid w:val="00364D1A"/>
    <w:rsid w:val="00364E7F"/>
    <w:rsid w:val="003672A4"/>
    <w:rsid w:val="003765B0"/>
    <w:rsid w:val="0038405F"/>
    <w:rsid w:val="003A43CE"/>
    <w:rsid w:val="003C68B6"/>
    <w:rsid w:val="003D1215"/>
    <w:rsid w:val="003D513F"/>
    <w:rsid w:val="003F71B7"/>
    <w:rsid w:val="004131E3"/>
    <w:rsid w:val="00421FE8"/>
    <w:rsid w:val="004252DB"/>
    <w:rsid w:val="00427F2C"/>
    <w:rsid w:val="00430106"/>
    <w:rsid w:val="00482790"/>
    <w:rsid w:val="004915D5"/>
    <w:rsid w:val="00491AD3"/>
    <w:rsid w:val="004922F1"/>
    <w:rsid w:val="004A75D5"/>
    <w:rsid w:val="004C4360"/>
    <w:rsid w:val="004D1629"/>
    <w:rsid w:val="0050137A"/>
    <w:rsid w:val="00503141"/>
    <w:rsid w:val="0052203D"/>
    <w:rsid w:val="005251C4"/>
    <w:rsid w:val="00557948"/>
    <w:rsid w:val="00564B8C"/>
    <w:rsid w:val="0057040D"/>
    <w:rsid w:val="00586E51"/>
    <w:rsid w:val="00614828"/>
    <w:rsid w:val="00630699"/>
    <w:rsid w:val="00633DCF"/>
    <w:rsid w:val="0063753D"/>
    <w:rsid w:val="00644DC3"/>
    <w:rsid w:val="00651B65"/>
    <w:rsid w:val="00674DAE"/>
    <w:rsid w:val="00696E58"/>
    <w:rsid w:val="00711276"/>
    <w:rsid w:val="007226CE"/>
    <w:rsid w:val="00734536"/>
    <w:rsid w:val="007455F7"/>
    <w:rsid w:val="007631ED"/>
    <w:rsid w:val="00763471"/>
    <w:rsid w:val="00774A7F"/>
    <w:rsid w:val="0077794D"/>
    <w:rsid w:val="007A4E77"/>
    <w:rsid w:val="007A6A25"/>
    <w:rsid w:val="007A76AC"/>
    <w:rsid w:val="007B194A"/>
    <w:rsid w:val="007B1C16"/>
    <w:rsid w:val="007B70C2"/>
    <w:rsid w:val="007D0BA4"/>
    <w:rsid w:val="007D3732"/>
    <w:rsid w:val="007D4FA9"/>
    <w:rsid w:val="008265CF"/>
    <w:rsid w:val="00835B3B"/>
    <w:rsid w:val="00842875"/>
    <w:rsid w:val="00876E43"/>
    <w:rsid w:val="00880EB4"/>
    <w:rsid w:val="008820FC"/>
    <w:rsid w:val="008A78F1"/>
    <w:rsid w:val="008B29B7"/>
    <w:rsid w:val="008B6526"/>
    <w:rsid w:val="008B70FB"/>
    <w:rsid w:val="008B7D1A"/>
    <w:rsid w:val="008C3561"/>
    <w:rsid w:val="008F1F4E"/>
    <w:rsid w:val="00925842"/>
    <w:rsid w:val="00952EB7"/>
    <w:rsid w:val="0097464F"/>
    <w:rsid w:val="0099042C"/>
    <w:rsid w:val="009A3E5D"/>
    <w:rsid w:val="009B6F59"/>
    <w:rsid w:val="009C1919"/>
    <w:rsid w:val="009D5E66"/>
    <w:rsid w:val="009E1AB9"/>
    <w:rsid w:val="009E7D34"/>
    <w:rsid w:val="00A44108"/>
    <w:rsid w:val="00A709C4"/>
    <w:rsid w:val="00AC1768"/>
    <w:rsid w:val="00AC1E22"/>
    <w:rsid w:val="00AE112C"/>
    <w:rsid w:val="00AE1FD6"/>
    <w:rsid w:val="00B06084"/>
    <w:rsid w:val="00B079D3"/>
    <w:rsid w:val="00B305DB"/>
    <w:rsid w:val="00B35501"/>
    <w:rsid w:val="00B81FB4"/>
    <w:rsid w:val="00B82DF9"/>
    <w:rsid w:val="00B847C6"/>
    <w:rsid w:val="00B862E2"/>
    <w:rsid w:val="00B8710F"/>
    <w:rsid w:val="00BA7541"/>
    <w:rsid w:val="00BB4735"/>
    <w:rsid w:val="00BC23A5"/>
    <w:rsid w:val="00C04ABD"/>
    <w:rsid w:val="00C36B1F"/>
    <w:rsid w:val="00C37FD4"/>
    <w:rsid w:val="00C54B0B"/>
    <w:rsid w:val="00C64CFF"/>
    <w:rsid w:val="00C7087D"/>
    <w:rsid w:val="00C726F4"/>
    <w:rsid w:val="00C74DDE"/>
    <w:rsid w:val="00C8234C"/>
    <w:rsid w:val="00C85784"/>
    <w:rsid w:val="00C87E9E"/>
    <w:rsid w:val="00C96F22"/>
    <w:rsid w:val="00CB3643"/>
    <w:rsid w:val="00CD3F2D"/>
    <w:rsid w:val="00CE058D"/>
    <w:rsid w:val="00D075E8"/>
    <w:rsid w:val="00D212CB"/>
    <w:rsid w:val="00D349C5"/>
    <w:rsid w:val="00D37C48"/>
    <w:rsid w:val="00D420C4"/>
    <w:rsid w:val="00D570BC"/>
    <w:rsid w:val="00DB5AF7"/>
    <w:rsid w:val="00DE28AC"/>
    <w:rsid w:val="00E043DE"/>
    <w:rsid w:val="00E12C1D"/>
    <w:rsid w:val="00E4540E"/>
    <w:rsid w:val="00E60C19"/>
    <w:rsid w:val="00E67744"/>
    <w:rsid w:val="00E80889"/>
    <w:rsid w:val="00EA4216"/>
    <w:rsid w:val="00EB46CE"/>
    <w:rsid w:val="00ED5776"/>
    <w:rsid w:val="00ED7332"/>
    <w:rsid w:val="00EE3F52"/>
    <w:rsid w:val="00EF4D4D"/>
    <w:rsid w:val="00F15D14"/>
    <w:rsid w:val="00F3413E"/>
    <w:rsid w:val="00F5324E"/>
    <w:rsid w:val="00F71FF7"/>
    <w:rsid w:val="00F73EA1"/>
    <w:rsid w:val="00F75AE7"/>
    <w:rsid w:val="00F77503"/>
    <w:rsid w:val="00FB534E"/>
    <w:rsid w:val="00FC0B18"/>
    <w:rsid w:val="00FE74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8B29B7"/>
    <w:pPr>
      <w:keepNext/>
      <w:keepLines/>
      <w:numPr>
        <w:numId w:val="11"/>
      </w:numPr>
      <w:spacing w:before="240"/>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8B29B7"/>
    <w:rPr>
      <w:rFonts w:ascii="Palatino Linotype" w:eastAsiaTheme="majorEastAsia" w:hAnsi="Palatino Linotype" w:cstheme="majorBidi"/>
      <w:b/>
      <w:sz w:val="24"/>
      <w:szCs w:val="32"/>
      <w:bdr w:val="nil"/>
    </w:rPr>
  </w:style>
  <w:style w:type="paragraph" w:styleId="TtulodeTDC">
    <w:name w:val="TOC Heading"/>
    <w:basedOn w:val="Ttulo1"/>
    <w:next w:val="Normal"/>
    <w:uiPriority w:val="39"/>
    <w:unhideWhenUsed/>
    <w:qFormat/>
    <w:rsid w:val="008B29B7"/>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8B29B7"/>
    <w:pPr>
      <w:tabs>
        <w:tab w:val="left" w:pos="660"/>
        <w:tab w:val="right" w:leader="dot" w:pos="8828"/>
      </w:tabs>
      <w:spacing w:after="100" w:line="360" w:lineRule="auto"/>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EB46CE"/>
    <w:pPr>
      <w:tabs>
        <w:tab w:val="right" w:leader="dot" w:pos="8828"/>
      </w:tabs>
      <w:spacing w:after="100" w:line="360" w:lineRule="auto"/>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7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974A-D4CE-4F4F-AF60-1A0A0F98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1342</Words>
  <Characters>7382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2017-01-30T19:32:00Z</cp:lastPrinted>
  <dcterms:created xsi:type="dcterms:W3CDTF">2019-03-15T17:18:00Z</dcterms:created>
  <dcterms:modified xsi:type="dcterms:W3CDTF">2019-03-29T18:24:00Z</dcterms:modified>
</cp:coreProperties>
</file>